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1072D" w14:textId="4BA93FE3" w:rsidR="0012388D" w:rsidRDefault="00772BDC" w:rsidP="00CA5734">
      <w:pPr>
        <w:rPr>
          <w:rFonts w:cs="Arial"/>
        </w:rPr>
      </w:pPr>
      <w:r>
        <w:rPr>
          <w:rFonts w:cs="Arial"/>
          <w:noProof/>
          <w:lang w:eastAsia="en-GB" w:bidi="ar-SA"/>
        </w:rPr>
        <w:drawing>
          <wp:inline distT="0" distB="0" distL="0" distR="0" wp14:anchorId="206411C8" wp14:editId="3704B7DD">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588D2B47" w14:textId="77777777" w:rsidR="00A671E6" w:rsidRPr="00A50047" w:rsidRDefault="00A671E6" w:rsidP="00A671E6"/>
    <w:p w14:paraId="0352EA36" w14:textId="5091F148" w:rsidR="00A50047" w:rsidRPr="00A50047" w:rsidRDefault="00F23209" w:rsidP="00A50047">
      <w:pPr>
        <w:widowControl/>
        <w:rPr>
          <w:b/>
          <w:sz w:val="28"/>
          <w:szCs w:val="28"/>
          <w:lang w:bidi="ar-SA"/>
        </w:rPr>
      </w:pPr>
      <w:r>
        <w:rPr>
          <w:b/>
          <w:sz w:val="28"/>
          <w:szCs w:val="28"/>
          <w:lang w:bidi="ar-SA"/>
        </w:rPr>
        <w:t>20</w:t>
      </w:r>
      <w:bookmarkStart w:id="0" w:name="_GoBack"/>
      <w:bookmarkEnd w:id="0"/>
      <w:r w:rsidR="00A50047" w:rsidRPr="00A50047">
        <w:rPr>
          <w:b/>
          <w:sz w:val="28"/>
          <w:szCs w:val="28"/>
          <w:lang w:bidi="ar-SA"/>
        </w:rPr>
        <w:t xml:space="preserve"> May 2016</w:t>
      </w:r>
    </w:p>
    <w:p w14:paraId="462729A0" w14:textId="0A581DDE" w:rsidR="00A671E6" w:rsidRPr="00A50047" w:rsidRDefault="00A50047" w:rsidP="00A50047">
      <w:pPr>
        <w:widowControl/>
        <w:rPr>
          <w:b/>
          <w:sz w:val="28"/>
          <w:szCs w:val="28"/>
        </w:rPr>
      </w:pPr>
      <w:r w:rsidRPr="00A50047">
        <w:rPr>
          <w:b/>
          <w:sz w:val="28"/>
          <w:szCs w:val="28"/>
          <w:lang w:bidi="ar-SA"/>
        </w:rPr>
        <w:t>[12–16]</w:t>
      </w:r>
    </w:p>
    <w:p w14:paraId="6774AB53" w14:textId="77777777" w:rsidR="00A671E6" w:rsidRPr="00A671E6" w:rsidRDefault="00A671E6" w:rsidP="00A671E6"/>
    <w:p w14:paraId="01DD84F2" w14:textId="45666A61" w:rsidR="0012388D" w:rsidRPr="000B427A" w:rsidRDefault="00B425AA" w:rsidP="00B425AA">
      <w:pPr>
        <w:pStyle w:val="FSTitle"/>
      </w:pPr>
      <w:r w:rsidRPr="00CA5734">
        <w:t>A</w:t>
      </w:r>
      <w:r w:rsidR="00DD265C">
        <w:t>pproval</w:t>
      </w:r>
      <w:r w:rsidRPr="00CA5734">
        <w:t xml:space="preserve"> </w:t>
      </w:r>
      <w:r w:rsidR="00B77C18">
        <w:t>r</w:t>
      </w:r>
      <w:r w:rsidR="00DD265C" w:rsidRPr="00CA5734">
        <w:t>eport</w:t>
      </w:r>
      <w:r w:rsidRPr="000B427A">
        <w:t xml:space="preserve"> – </w:t>
      </w:r>
      <w:r w:rsidR="00D6785F" w:rsidRPr="00D6785F">
        <w:t>Application A1120</w:t>
      </w:r>
    </w:p>
    <w:p w14:paraId="2A41D9B5" w14:textId="77777777" w:rsidR="003A7B84" w:rsidRPr="00CA5734" w:rsidRDefault="003A7B84" w:rsidP="00A671E6"/>
    <w:p w14:paraId="1911AB33" w14:textId="75CBF18C" w:rsidR="003A7B84" w:rsidRPr="00D6785F" w:rsidRDefault="00D6785F" w:rsidP="00871116">
      <w:pPr>
        <w:pBdr>
          <w:bottom w:val="single" w:sz="12" w:space="1" w:color="auto"/>
        </w:pBdr>
        <w:tabs>
          <w:tab w:val="left" w:pos="1140"/>
        </w:tabs>
        <w:rPr>
          <w:rFonts w:cs="Tahoma"/>
          <w:bCs/>
          <w:sz w:val="32"/>
        </w:rPr>
      </w:pPr>
      <w:r w:rsidRPr="00D6785F">
        <w:rPr>
          <w:rFonts w:cs="Tahoma"/>
          <w:bCs/>
          <w:sz w:val="32"/>
        </w:rPr>
        <w:t>Agarose Ion Exchange Resin as a Processing Aid for Lactoferrin Production</w:t>
      </w:r>
    </w:p>
    <w:p w14:paraId="4E0375D3" w14:textId="77777777" w:rsidR="00D6785F" w:rsidRPr="00E327A6" w:rsidRDefault="00D6785F" w:rsidP="00871116">
      <w:pPr>
        <w:pBdr>
          <w:bottom w:val="single" w:sz="12" w:space="1" w:color="auto"/>
        </w:pBdr>
        <w:tabs>
          <w:tab w:val="left" w:pos="1140"/>
        </w:tabs>
        <w:rPr>
          <w:rFonts w:cs="Arial"/>
          <w:bCs/>
        </w:rPr>
      </w:pPr>
    </w:p>
    <w:p w14:paraId="55E17CFF" w14:textId="77777777" w:rsidR="003A7B84" w:rsidRPr="00E327A6" w:rsidRDefault="003A7B84" w:rsidP="003A7B84"/>
    <w:p w14:paraId="468528B0" w14:textId="5DA961EE" w:rsidR="00EB6590" w:rsidRDefault="000F3CFE" w:rsidP="00CA5734">
      <w:r>
        <w:t>Food Standards Australia New Zealand (FSANZ) has</w:t>
      </w:r>
      <w:r w:rsidR="00081B0A">
        <w:t xml:space="preserve"> assessed </w:t>
      </w:r>
      <w:r w:rsidR="00D6785F" w:rsidRPr="00D6785F">
        <w:t>an Application made by Fonterra Co-operative Group Limited to permit the use of an agarose ion exchange resin as a processing aid in the production of high purity lactoferrin from bovine milk and milk-related products</w:t>
      </w:r>
      <w:r w:rsidR="00D6785F">
        <w:t>.</w:t>
      </w:r>
    </w:p>
    <w:p w14:paraId="7D76D0E9" w14:textId="77777777" w:rsidR="00CA5734" w:rsidRDefault="00CA5734" w:rsidP="00CA5734"/>
    <w:p w14:paraId="523966D7" w14:textId="2A575881" w:rsidR="00081B0A" w:rsidRDefault="00081B0A" w:rsidP="00CA5734">
      <w:r>
        <w:t>On</w:t>
      </w:r>
      <w:r w:rsidR="00D6785F">
        <w:t xml:space="preserve"> 16 February 2016,</w:t>
      </w:r>
      <w:r w:rsidRPr="00CA5734">
        <w:rPr>
          <w:color w:val="FF0000"/>
        </w:rPr>
        <w:t xml:space="preserve"> </w:t>
      </w:r>
      <w:r>
        <w:t xml:space="preserve">FSANZ sought </w:t>
      </w:r>
      <w:r w:rsidR="003A7B84">
        <w:t xml:space="preserve">submissions </w:t>
      </w:r>
      <w:r w:rsidR="00A671E6">
        <w:t xml:space="preserve">on </w:t>
      </w:r>
      <w:r w:rsidR="005253F0">
        <w:t xml:space="preserve">a </w:t>
      </w:r>
      <w:r w:rsidR="00F526BD">
        <w:t xml:space="preserve">draft </w:t>
      </w:r>
      <w:r w:rsidR="00E30092" w:rsidRPr="00D6785F">
        <w:t>variation</w:t>
      </w:r>
      <w:r w:rsidR="003A7B84" w:rsidRPr="00D6785F">
        <w:t xml:space="preserve"> </w:t>
      </w:r>
      <w:r w:rsidR="003A7B84">
        <w:t xml:space="preserve">and published an </w:t>
      </w:r>
      <w:r w:rsidR="00EC21DF">
        <w:t>associated r</w:t>
      </w:r>
      <w:r w:rsidR="003A7B84">
        <w:t>eport</w:t>
      </w:r>
      <w:r>
        <w:t>.</w:t>
      </w:r>
      <w:r w:rsidR="00D6785F">
        <w:t xml:space="preserve"> FSANZ received </w:t>
      </w:r>
      <w:r w:rsidR="005253F0">
        <w:t>five</w:t>
      </w:r>
      <w:r w:rsidR="00F526BD">
        <w:t xml:space="preserve"> submissions.</w:t>
      </w:r>
    </w:p>
    <w:p w14:paraId="7F2B2B08" w14:textId="77777777" w:rsidR="00CA5734" w:rsidRDefault="00CA5734" w:rsidP="00CA5734"/>
    <w:p w14:paraId="0A538A3F" w14:textId="77777777" w:rsidR="00A50047" w:rsidRPr="00842A10" w:rsidRDefault="00A50047" w:rsidP="00A50047">
      <w:r w:rsidRPr="00842A10">
        <w:rPr>
          <w:szCs w:val="22"/>
        </w:rPr>
        <w:t>FSANZ approved the draft variation</w:t>
      </w:r>
      <w:r w:rsidRPr="00842A10">
        <w:t xml:space="preserve"> on 4 May 2016. The </w:t>
      </w:r>
      <w:r w:rsidRPr="00842A10">
        <w:rPr>
          <w:rFonts w:cs="Helvetica"/>
        </w:rPr>
        <w:t xml:space="preserve">Australia and New Zealand Ministerial Forum on Food </w:t>
      </w:r>
      <w:r w:rsidRPr="00842A10">
        <w:rPr>
          <w:rFonts w:cs="Arial"/>
        </w:rPr>
        <w:t>Regulation</w:t>
      </w:r>
      <w:r w:rsidRPr="00842A10">
        <w:rPr>
          <w:rFonts w:cs="Helvetica"/>
        </w:rPr>
        <w:t xml:space="preserve"> </w:t>
      </w:r>
      <w:r w:rsidRPr="00842A10">
        <w:rPr>
          <w:rFonts w:cs="Arial"/>
        </w:rPr>
        <w:t>(Forum)</w:t>
      </w:r>
      <w:r w:rsidRPr="00842A10">
        <w:t xml:space="preserve"> was notified of FSANZ’s decision on </w:t>
      </w:r>
    </w:p>
    <w:p w14:paraId="41EB4371" w14:textId="77777777" w:rsidR="00A50047" w:rsidRPr="00842A10" w:rsidRDefault="00A50047" w:rsidP="00A50047">
      <w:r w:rsidRPr="00842A10">
        <w:t>17 May 2016</w:t>
      </w:r>
      <w:r>
        <w:t>.</w:t>
      </w:r>
    </w:p>
    <w:p w14:paraId="558983B3" w14:textId="77777777" w:rsidR="00CA5734" w:rsidRDefault="00CA5734" w:rsidP="00CA5734"/>
    <w:p w14:paraId="178E4957" w14:textId="71688911" w:rsidR="00081B0A" w:rsidRDefault="003A7B84" w:rsidP="00292B9B">
      <w:r>
        <w:t>This R</w:t>
      </w:r>
      <w:r w:rsidR="00B425AA">
        <w:t xml:space="preserve">eport is provided pursuant to </w:t>
      </w:r>
      <w:r w:rsidR="009A2699">
        <w:t>paragraph</w:t>
      </w:r>
      <w:r w:rsidR="00081B0A">
        <w:t xml:space="preserve"> </w:t>
      </w:r>
      <w:r w:rsidR="00D6785F" w:rsidRPr="00D6785F">
        <w:t>33(1)(b)</w:t>
      </w:r>
      <w:r w:rsidR="00081B0A" w:rsidRPr="00D6785F">
        <w:t xml:space="preserve"> </w:t>
      </w:r>
      <w:r w:rsidR="00081B0A">
        <w:t xml:space="preserve">of the </w:t>
      </w:r>
      <w:r w:rsidR="00081B0A" w:rsidRPr="0012388D">
        <w:rPr>
          <w:i/>
        </w:rPr>
        <w:t>Food Standards Australia New Zealand Act 1991</w:t>
      </w:r>
      <w:r w:rsidR="00081B0A">
        <w:t xml:space="preserve"> (the FSANZ Act).</w:t>
      </w:r>
    </w:p>
    <w:p w14:paraId="48A043E1" w14:textId="77777777" w:rsidR="00F526BD" w:rsidRDefault="00F526BD" w:rsidP="00A671E6"/>
    <w:p w14:paraId="4758EE32" w14:textId="77777777" w:rsidR="00EB6590" w:rsidRDefault="00EB6590" w:rsidP="00F526BD"/>
    <w:p w14:paraId="39B6DDBD" w14:textId="77777777" w:rsidR="00A671E6" w:rsidRDefault="00A671E6" w:rsidP="00CC5468">
      <w:pPr>
        <w:sectPr w:rsidR="00A671E6" w:rsidSect="00EB576F">
          <w:footerReference w:type="even" r:id="rId15"/>
          <w:footerReference w:type="default" r:id="rId16"/>
          <w:headerReference w:type="first" r:id="rId17"/>
          <w:pgSz w:w="11906" w:h="16838" w:code="9"/>
          <w:pgMar w:top="1418" w:right="1418" w:bottom="1418" w:left="1418" w:header="709" w:footer="709" w:gutter="0"/>
          <w:pgNumType w:fmt="lowerRoman" w:start="1"/>
          <w:cols w:space="708"/>
          <w:docGrid w:linePitch="360"/>
        </w:sectPr>
      </w:pPr>
    </w:p>
    <w:p w14:paraId="376572E1"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49F4E5B3" w14:textId="77777777" w:rsidR="00CE59AA" w:rsidRPr="00346622" w:rsidRDefault="00CE59AA" w:rsidP="00CE59AA">
      <w:pPr>
        <w:rPr>
          <w:rFonts w:cs="Arial"/>
          <w:sz w:val="20"/>
          <w:szCs w:val="20"/>
        </w:rPr>
      </w:pPr>
    </w:p>
    <w:p w14:paraId="69120D0D" w14:textId="77777777" w:rsidR="00583AAB" w:rsidRPr="00A50047"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A50047">
        <w:rPr>
          <w:rFonts w:ascii="Arial" w:hAnsi="Arial" w:cs="Arial"/>
          <w:b w:val="0"/>
          <w:bCs w:val="0"/>
          <w:caps w:val="0"/>
          <w:smallCaps/>
        </w:rPr>
        <w:fldChar w:fldCharType="begin"/>
      </w:r>
      <w:r w:rsidRPr="00A50047">
        <w:rPr>
          <w:rFonts w:ascii="Arial" w:hAnsi="Arial" w:cs="Arial"/>
        </w:rPr>
        <w:instrText xml:space="preserve"> TOC \h \z \t "Heading 1,1,Heading 2,2,Heading 3,3" </w:instrText>
      </w:r>
      <w:r w:rsidRPr="00A50047">
        <w:rPr>
          <w:rFonts w:ascii="Arial" w:hAnsi="Arial" w:cs="Arial"/>
          <w:b w:val="0"/>
          <w:bCs w:val="0"/>
          <w:caps w:val="0"/>
          <w:smallCaps/>
        </w:rPr>
        <w:fldChar w:fldCharType="separate"/>
      </w:r>
      <w:hyperlink w:anchor="_Toc447716502" w:history="1">
        <w:r w:rsidR="00583AAB" w:rsidRPr="00A50047">
          <w:rPr>
            <w:rStyle w:val="Hyperlink"/>
            <w:rFonts w:ascii="Arial" w:hAnsi="Arial" w:cs="Arial"/>
            <w:noProof/>
          </w:rPr>
          <w:t>Executive summary</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_Toc447716502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2</w:t>
        </w:r>
        <w:r w:rsidR="00583AAB" w:rsidRPr="00A50047">
          <w:rPr>
            <w:rFonts w:ascii="Arial" w:hAnsi="Arial" w:cs="Arial"/>
            <w:noProof/>
            <w:webHidden/>
          </w:rPr>
          <w:fldChar w:fldCharType="end"/>
        </w:r>
      </w:hyperlink>
    </w:p>
    <w:p w14:paraId="748BA5EE" w14:textId="77777777" w:rsidR="00583AAB" w:rsidRPr="00A50047" w:rsidRDefault="00F23209">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7716503" w:history="1">
        <w:r w:rsidR="00583AAB" w:rsidRPr="00A50047">
          <w:rPr>
            <w:rStyle w:val="Hyperlink"/>
            <w:rFonts w:ascii="Arial" w:hAnsi="Arial" w:cs="Arial"/>
            <w:noProof/>
          </w:rPr>
          <w:t>1</w:t>
        </w:r>
        <w:r w:rsidR="00583AAB" w:rsidRPr="00A50047">
          <w:rPr>
            <w:rFonts w:ascii="Arial" w:eastAsiaTheme="minorEastAsia" w:hAnsi="Arial" w:cs="Arial"/>
            <w:b w:val="0"/>
            <w:bCs w:val="0"/>
            <w:caps w:val="0"/>
            <w:noProof/>
            <w:sz w:val="22"/>
            <w:szCs w:val="22"/>
            <w:lang w:eastAsia="en-GB" w:bidi="ar-SA"/>
          </w:rPr>
          <w:tab/>
        </w:r>
        <w:r w:rsidR="00583AAB" w:rsidRPr="00A50047">
          <w:rPr>
            <w:rStyle w:val="Hyperlink"/>
            <w:rFonts w:ascii="Arial" w:hAnsi="Arial" w:cs="Arial"/>
            <w:noProof/>
          </w:rPr>
          <w:t>Introduction</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_Toc447716503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3</w:t>
        </w:r>
        <w:r w:rsidR="00583AAB" w:rsidRPr="00A50047">
          <w:rPr>
            <w:rFonts w:ascii="Arial" w:hAnsi="Arial" w:cs="Arial"/>
            <w:noProof/>
            <w:webHidden/>
          </w:rPr>
          <w:fldChar w:fldCharType="end"/>
        </w:r>
      </w:hyperlink>
    </w:p>
    <w:p w14:paraId="2C697F1E" w14:textId="77777777" w:rsidR="00583AAB" w:rsidRPr="00A50047" w:rsidRDefault="00F2320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716504" w:history="1">
        <w:r w:rsidR="00583AAB" w:rsidRPr="00A50047">
          <w:rPr>
            <w:rStyle w:val="Hyperlink"/>
            <w:rFonts w:ascii="Arial" w:hAnsi="Arial" w:cs="Arial"/>
            <w:noProof/>
          </w:rPr>
          <w:t>1.1</w:t>
        </w:r>
        <w:r w:rsidR="00583AAB" w:rsidRPr="00A50047">
          <w:rPr>
            <w:rFonts w:ascii="Arial" w:eastAsiaTheme="minorEastAsia" w:hAnsi="Arial" w:cs="Arial"/>
            <w:smallCaps w:val="0"/>
            <w:noProof/>
            <w:sz w:val="22"/>
            <w:szCs w:val="22"/>
            <w:lang w:eastAsia="en-GB" w:bidi="ar-SA"/>
          </w:rPr>
          <w:tab/>
        </w:r>
        <w:r w:rsidR="00583AAB" w:rsidRPr="00A50047">
          <w:rPr>
            <w:rStyle w:val="Hyperlink"/>
            <w:rFonts w:ascii="Arial" w:hAnsi="Arial" w:cs="Arial"/>
            <w:noProof/>
          </w:rPr>
          <w:t>The Applicant</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_Toc447716504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3</w:t>
        </w:r>
        <w:r w:rsidR="00583AAB" w:rsidRPr="00A50047">
          <w:rPr>
            <w:rFonts w:ascii="Arial" w:hAnsi="Arial" w:cs="Arial"/>
            <w:noProof/>
            <w:webHidden/>
          </w:rPr>
          <w:fldChar w:fldCharType="end"/>
        </w:r>
      </w:hyperlink>
    </w:p>
    <w:p w14:paraId="663E6BB3" w14:textId="77777777" w:rsidR="00583AAB" w:rsidRPr="00A50047" w:rsidRDefault="00F2320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716505" w:history="1">
        <w:r w:rsidR="00583AAB" w:rsidRPr="00A50047">
          <w:rPr>
            <w:rStyle w:val="Hyperlink"/>
            <w:rFonts w:ascii="Arial" w:hAnsi="Arial" w:cs="Arial"/>
            <w:noProof/>
          </w:rPr>
          <w:t>1.2</w:t>
        </w:r>
        <w:r w:rsidR="00583AAB" w:rsidRPr="00A50047">
          <w:rPr>
            <w:rFonts w:ascii="Arial" w:eastAsiaTheme="minorEastAsia" w:hAnsi="Arial" w:cs="Arial"/>
            <w:smallCaps w:val="0"/>
            <w:noProof/>
            <w:sz w:val="22"/>
            <w:szCs w:val="22"/>
            <w:lang w:eastAsia="en-GB" w:bidi="ar-SA"/>
          </w:rPr>
          <w:tab/>
        </w:r>
        <w:r w:rsidR="00583AAB" w:rsidRPr="00A50047">
          <w:rPr>
            <w:rStyle w:val="Hyperlink"/>
            <w:rFonts w:ascii="Arial" w:hAnsi="Arial" w:cs="Arial"/>
            <w:noProof/>
          </w:rPr>
          <w:t>The Application</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_Toc447716505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3</w:t>
        </w:r>
        <w:r w:rsidR="00583AAB" w:rsidRPr="00A50047">
          <w:rPr>
            <w:rFonts w:ascii="Arial" w:hAnsi="Arial" w:cs="Arial"/>
            <w:noProof/>
            <w:webHidden/>
          </w:rPr>
          <w:fldChar w:fldCharType="end"/>
        </w:r>
      </w:hyperlink>
    </w:p>
    <w:p w14:paraId="03B6AF03" w14:textId="77777777" w:rsidR="00583AAB" w:rsidRPr="00A50047" w:rsidRDefault="00F2320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716506" w:history="1">
        <w:r w:rsidR="00583AAB" w:rsidRPr="00A50047">
          <w:rPr>
            <w:rStyle w:val="Hyperlink"/>
            <w:rFonts w:ascii="Arial" w:hAnsi="Arial" w:cs="Arial"/>
            <w:noProof/>
          </w:rPr>
          <w:t>1.3</w:t>
        </w:r>
        <w:r w:rsidR="00583AAB" w:rsidRPr="00A50047">
          <w:rPr>
            <w:rFonts w:ascii="Arial" w:eastAsiaTheme="minorEastAsia" w:hAnsi="Arial" w:cs="Arial"/>
            <w:smallCaps w:val="0"/>
            <w:noProof/>
            <w:sz w:val="22"/>
            <w:szCs w:val="22"/>
            <w:lang w:eastAsia="en-GB" w:bidi="ar-SA"/>
          </w:rPr>
          <w:tab/>
        </w:r>
        <w:r w:rsidR="00583AAB" w:rsidRPr="00A50047">
          <w:rPr>
            <w:rStyle w:val="Hyperlink"/>
            <w:rFonts w:ascii="Arial" w:hAnsi="Arial" w:cs="Arial"/>
            <w:noProof/>
          </w:rPr>
          <w:t>The current Standard</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_Toc447716506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3</w:t>
        </w:r>
        <w:r w:rsidR="00583AAB" w:rsidRPr="00A50047">
          <w:rPr>
            <w:rFonts w:ascii="Arial" w:hAnsi="Arial" w:cs="Arial"/>
            <w:noProof/>
            <w:webHidden/>
          </w:rPr>
          <w:fldChar w:fldCharType="end"/>
        </w:r>
      </w:hyperlink>
    </w:p>
    <w:p w14:paraId="1264B8AB" w14:textId="77777777" w:rsidR="00583AAB" w:rsidRPr="00A50047" w:rsidRDefault="00F2320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716507" w:history="1">
        <w:r w:rsidR="00583AAB" w:rsidRPr="00A50047">
          <w:rPr>
            <w:rStyle w:val="Hyperlink"/>
            <w:rFonts w:ascii="Arial" w:hAnsi="Arial" w:cs="Arial"/>
            <w:noProof/>
            <w:u w:color="FFFF00"/>
          </w:rPr>
          <w:t>1.4</w:t>
        </w:r>
        <w:r w:rsidR="00583AAB" w:rsidRPr="00A50047">
          <w:rPr>
            <w:rFonts w:ascii="Arial" w:eastAsiaTheme="minorEastAsia" w:hAnsi="Arial" w:cs="Arial"/>
            <w:smallCaps w:val="0"/>
            <w:noProof/>
            <w:sz w:val="22"/>
            <w:szCs w:val="22"/>
            <w:lang w:eastAsia="en-GB" w:bidi="ar-SA"/>
          </w:rPr>
          <w:tab/>
        </w:r>
        <w:r w:rsidR="00583AAB" w:rsidRPr="00A50047">
          <w:rPr>
            <w:rStyle w:val="Hyperlink"/>
            <w:rFonts w:ascii="Arial" w:hAnsi="Arial" w:cs="Arial"/>
            <w:noProof/>
            <w:u w:color="FFFF00"/>
          </w:rPr>
          <w:t>Reasons for accepting Application</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_Toc447716507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3</w:t>
        </w:r>
        <w:r w:rsidR="00583AAB" w:rsidRPr="00A50047">
          <w:rPr>
            <w:rFonts w:ascii="Arial" w:hAnsi="Arial" w:cs="Arial"/>
            <w:noProof/>
            <w:webHidden/>
          </w:rPr>
          <w:fldChar w:fldCharType="end"/>
        </w:r>
      </w:hyperlink>
    </w:p>
    <w:p w14:paraId="3D0D42E6" w14:textId="77777777" w:rsidR="00583AAB" w:rsidRPr="00A50047" w:rsidRDefault="00F2320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716508" w:history="1">
        <w:r w:rsidR="00583AAB" w:rsidRPr="00A50047">
          <w:rPr>
            <w:rStyle w:val="Hyperlink"/>
            <w:rFonts w:ascii="Arial" w:hAnsi="Arial" w:cs="Arial"/>
            <w:noProof/>
          </w:rPr>
          <w:t>1.5</w:t>
        </w:r>
        <w:r w:rsidR="00583AAB" w:rsidRPr="00A50047">
          <w:rPr>
            <w:rFonts w:ascii="Arial" w:eastAsiaTheme="minorEastAsia" w:hAnsi="Arial" w:cs="Arial"/>
            <w:smallCaps w:val="0"/>
            <w:noProof/>
            <w:sz w:val="22"/>
            <w:szCs w:val="22"/>
            <w:lang w:eastAsia="en-GB" w:bidi="ar-SA"/>
          </w:rPr>
          <w:tab/>
        </w:r>
        <w:r w:rsidR="00583AAB" w:rsidRPr="00A50047">
          <w:rPr>
            <w:rStyle w:val="Hyperlink"/>
            <w:rFonts w:ascii="Arial" w:hAnsi="Arial" w:cs="Arial"/>
            <w:noProof/>
          </w:rPr>
          <w:t>Procedure for assessment</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_Toc447716508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4</w:t>
        </w:r>
        <w:r w:rsidR="00583AAB" w:rsidRPr="00A50047">
          <w:rPr>
            <w:rFonts w:ascii="Arial" w:hAnsi="Arial" w:cs="Arial"/>
            <w:noProof/>
            <w:webHidden/>
          </w:rPr>
          <w:fldChar w:fldCharType="end"/>
        </w:r>
      </w:hyperlink>
    </w:p>
    <w:p w14:paraId="40CC5609" w14:textId="77777777" w:rsidR="00583AAB" w:rsidRPr="00A50047" w:rsidRDefault="00F23209">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7716509" w:history="1">
        <w:r w:rsidR="00583AAB" w:rsidRPr="00A50047">
          <w:rPr>
            <w:rStyle w:val="Hyperlink"/>
            <w:rFonts w:ascii="Arial" w:hAnsi="Arial" w:cs="Arial"/>
            <w:noProof/>
          </w:rPr>
          <w:t>2</w:t>
        </w:r>
        <w:r w:rsidR="00583AAB" w:rsidRPr="00A50047">
          <w:rPr>
            <w:rFonts w:ascii="Arial" w:eastAsiaTheme="minorEastAsia" w:hAnsi="Arial" w:cs="Arial"/>
            <w:b w:val="0"/>
            <w:bCs w:val="0"/>
            <w:caps w:val="0"/>
            <w:noProof/>
            <w:sz w:val="22"/>
            <w:szCs w:val="22"/>
            <w:lang w:eastAsia="en-GB" w:bidi="ar-SA"/>
          </w:rPr>
          <w:tab/>
        </w:r>
        <w:r w:rsidR="00583AAB" w:rsidRPr="00A50047">
          <w:rPr>
            <w:rStyle w:val="Hyperlink"/>
            <w:rFonts w:ascii="Arial" w:hAnsi="Arial" w:cs="Arial"/>
            <w:noProof/>
          </w:rPr>
          <w:t xml:space="preserve">Summary </w:t>
        </w:r>
        <w:r w:rsidR="00583AAB" w:rsidRPr="00A50047">
          <w:rPr>
            <w:rStyle w:val="Hyperlink"/>
            <w:rFonts w:ascii="Arial" w:hAnsi="Arial" w:cs="Arial"/>
            <w:noProof/>
            <w:u w:color="FFFF00"/>
          </w:rPr>
          <w:t>of</w:t>
        </w:r>
        <w:r w:rsidR="00583AAB" w:rsidRPr="00A50047">
          <w:rPr>
            <w:rStyle w:val="Hyperlink"/>
            <w:rFonts w:ascii="Arial" w:hAnsi="Arial" w:cs="Arial"/>
            <w:noProof/>
          </w:rPr>
          <w:t xml:space="preserve"> the findings</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_Toc447716509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4</w:t>
        </w:r>
        <w:r w:rsidR="00583AAB" w:rsidRPr="00A50047">
          <w:rPr>
            <w:rFonts w:ascii="Arial" w:hAnsi="Arial" w:cs="Arial"/>
            <w:noProof/>
            <w:webHidden/>
          </w:rPr>
          <w:fldChar w:fldCharType="end"/>
        </w:r>
      </w:hyperlink>
    </w:p>
    <w:p w14:paraId="7A0D60FF" w14:textId="77777777" w:rsidR="00583AAB" w:rsidRPr="00A50047" w:rsidRDefault="00F2320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716510" w:history="1">
        <w:r w:rsidR="00583AAB" w:rsidRPr="00A50047">
          <w:rPr>
            <w:rStyle w:val="Hyperlink"/>
            <w:rFonts w:ascii="Arial" w:hAnsi="Arial" w:cs="Arial"/>
            <w:noProof/>
          </w:rPr>
          <w:t>2.1</w:t>
        </w:r>
        <w:r w:rsidR="00583AAB" w:rsidRPr="00A50047">
          <w:rPr>
            <w:rFonts w:ascii="Arial" w:eastAsiaTheme="minorEastAsia" w:hAnsi="Arial" w:cs="Arial"/>
            <w:smallCaps w:val="0"/>
            <w:noProof/>
            <w:sz w:val="22"/>
            <w:szCs w:val="22"/>
            <w:lang w:eastAsia="en-GB" w:bidi="ar-SA"/>
          </w:rPr>
          <w:tab/>
        </w:r>
        <w:r w:rsidR="00583AAB" w:rsidRPr="00A50047">
          <w:rPr>
            <w:rStyle w:val="Hyperlink"/>
            <w:rFonts w:ascii="Arial" w:hAnsi="Arial" w:cs="Arial"/>
            <w:noProof/>
          </w:rPr>
          <w:t>Summary of issues raised in submissions</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_Toc447716510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4</w:t>
        </w:r>
        <w:r w:rsidR="00583AAB" w:rsidRPr="00A50047">
          <w:rPr>
            <w:rFonts w:ascii="Arial" w:hAnsi="Arial" w:cs="Arial"/>
            <w:noProof/>
            <w:webHidden/>
          </w:rPr>
          <w:fldChar w:fldCharType="end"/>
        </w:r>
      </w:hyperlink>
    </w:p>
    <w:p w14:paraId="6E4F0CA5" w14:textId="77777777" w:rsidR="00583AAB" w:rsidRPr="00A50047" w:rsidRDefault="00F2320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716511" w:history="1">
        <w:r w:rsidR="00583AAB" w:rsidRPr="00A50047">
          <w:rPr>
            <w:rStyle w:val="Hyperlink"/>
            <w:rFonts w:ascii="Arial" w:hAnsi="Arial" w:cs="Arial"/>
            <w:noProof/>
          </w:rPr>
          <w:t>2.2</w:t>
        </w:r>
        <w:r w:rsidR="00583AAB" w:rsidRPr="00A50047">
          <w:rPr>
            <w:rFonts w:ascii="Arial" w:eastAsiaTheme="minorEastAsia" w:hAnsi="Arial" w:cs="Arial"/>
            <w:smallCaps w:val="0"/>
            <w:noProof/>
            <w:sz w:val="22"/>
            <w:szCs w:val="22"/>
            <w:lang w:eastAsia="en-GB" w:bidi="ar-SA"/>
          </w:rPr>
          <w:tab/>
        </w:r>
        <w:r w:rsidR="00583AAB" w:rsidRPr="00A50047">
          <w:rPr>
            <w:rStyle w:val="Hyperlink"/>
            <w:rFonts w:ascii="Arial" w:hAnsi="Arial" w:cs="Arial"/>
            <w:noProof/>
          </w:rPr>
          <w:t>Risk assessment</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_Toc447716511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4</w:t>
        </w:r>
        <w:r w:rsidR="00583AAB" w:rsidRPr="00A50047">
          <w:rPr>
            <w:rFonts w:ascii="Arial" w:hAnsi="Arial" w:cs="Arial"/>
            <w:noProof/>
            <w:webHidden/>
          </w:rPr>
          <w:fldChar w:fldCharType="end"/>
        </w:r>
      </w:hyperlink>
    </w:p>
    <w:p w14:paraId="69A51970" w14:textId="77777777" w:rsidR="00583AAB" w:rsidRPr="00A50047" w:rsidRDefault="00F2320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716512" w:history="1">
        <w:r w:rsidR="00583AAB" w:rsidRPr="00A50047">
          <w:rPr>
            <w:rStyle w:val="Hyperlink"/>
            <w:rFonts w:ascii="Arial" w:hAnsi="Arial" w:cs="Arial"/>
            <w:noProof/>
          </w:rPr>
          <w:t>2.3</w:t>
        </w:r>
        <w:r w:rsidR="00583AAB" w:rsidRPr="00A50047">
          <w:rPr>
            <w:rFonts w:ascii="Arial" w:eastAsiaTheme="minorEastAsia" w:hAnsi="Arial" w:cs="Arial"/>
            <w:smallCaps w:val="0"/>
            <w:noProof/>
            <w:sz w:val="22"/>
            <w:szCs w:val="22"/>
            <w:lang w:eastAsia="en-GB" w:bidi="ar-SA"/>
          </w:rPr>
          <w:tab/>
        </w:r>
        <w:r w:rsidR="00583AAB" w:rsidRPr="00A50047">
          <w:rPr>
            <w:rStyle w:val="Hyperlink"/>
            <w:rFonts w:ascii="Arial" w:hAnsi="Arial" w:cs="Arial"/>
            <w:noProof/>
          </w:rPr>
          <w:t>Risk management</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_Toc447716512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4</w:t>
        </w:r>
        <w:r w:rsidR="00583AAB" w:rsidRPr="00A50047">
          <w:rPr>
            <w:rFonts w:ascii="Arial" w:hAnsi="Arial" w:cs="Arial"/>
            <w:noProof/>
            <w:webHidden/>
          </w:rPr>
          <w:fldChar w:fldCharType="end"/>
        </w:r>
      </w:hyperlink>
    </w:p>
    <w:p w14:paraId="7DCDD57F" w14:textId="77777777" w:rsidR="00583AAB" w:rsidRPr="00A50047" w:rsidRDefault="00F2320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716513" w:history="1">
        <w:r w:rsidR="00583AAB" w:rsidRPr="00A50047">
          <w:rPr>
            <w:rStyle w:val="Hyperlink"/>
            <w:rFonts w:ascii="Arial" w:hAnsi="Arial" w:cs="Arial"/>
            <w:noProof/>
          </w:rPr>
          <w:t>2.3.1</w:t>
        </w:r>
        <w:r w:rsidR="00583AAB" w:rsidRPr="00A50047">
          <w:rPr>
            <w:rFonts w:ascii="Arial" w:eastAsiaTheme="minorEastAsia" w:hAnsi="Arial" w:cs="Arial"/>
            <w:i w:val="0"/>
            <w:iCs w:val="0"/>
            <w:noProof/>
            <w:sz w:val="22"/>
            <w:szCs w:val="22"/>
            <w:lang w:eastAsia="en-GB" w:bidi="ar-SA"/>
          </w:rPr>
          <w:tab/>
        </w:r>
        <w:r w:rsidR="00583AAB" w:rsidRPr="00A50047">
          <w:rPr>
            <w:rStyle w:val="Hyperlink"/>
            <w:rFonts w:ascii="Arial" w:hAnsi="Arial" w:cs="Arial"/>
            <w:noProof/>
          </w:rPr>
          <w:t>International standards</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_Toc447716513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5</w:t>
        </w:r>
        <w:r w:rsidR="00583AAB" w:rsidRPr="00A50047">
          <w:rPr>
            <w:rFonts w:ascii="Arial" w:hAnsi="Arial" w:cs="Arial"/>
            <w:noProof/>
            <w:webHidden/>
          </w:rPr>
          <w:fldChar w:fldCharType="end"/>
        </w:r>
      </w:hyperlink>
    </w:p>
    <w:p w14:paraId="5C8453FC" w14:textId="77777777" w:rsidR="00583AAB" w:rsidRPr="00A50047" w:rsidRDefault="00F2320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716514" w:history="1">
        <w:r w:rsidR="00583AAB" w:rsidRPr="00A50047">
          <w:rPr>
            <w:rStyle w:val="Hyperlink"/>
            <w:rFonts w:ascii="Arial" w:hAnsi="Arial" w:cs="Arial"/>
            <w:noProof/>
          </w:rPr>
          <w:t>2.3.2</w:t>
        </w:r>
        <w:r w:rsidR="00583AAB" w:rsidRPr="00A50047">
          <w:rPr>
            <w:rFonts w:ascii="Arial" w:eastAsiaTheme="minorEastAsia" w:hAnsi="Arial" w:cs="Arial"/>
            <w:i w:val="0"/>
            <w:iCs w:val="0"/>
            <w:noProof/>
            <w:sz w:val="22"/>
            <w:szCs w:val="22"/>
            <w:lang w:eastAsia="en-GB" w:bidi="ar-SA"/>
          </w:rPr>
          <w:tab/>
        </w:r>
        <w:r w:rsidR="00583AAB" w:rsidRPr="00A50047">
          <w:rPr>
            <w:rStyle w:val="Hyperlink"/>
            <w:rFonts w:ascii="Arial" w:hAnsi="Arial" w:cs="Arial"/>
            <w:noProof/>
          </w:rPr>
          <w:t>Permissions for agarose ion exchange resin</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_Toc447716514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5</w:t>
        </w:r>
        <w:r w:rsidR="00583AAB" w:rsidRPr="00A50047">
          <w:rPr>
            <w:rFonts w:ascii="Arial" w:hAnsi="Arial" w:cs="Arial"/>
            <w:noProof/>
            <w:webHidden/>
          </w:rPr>
          <w:fldChar w:fldCharType="end"/>
        </w:r>
      </w:hyperlink>
    </w:p>
    <w:p w14:paraId="5B96C522" w14:textId="77777777" w:rsidR="00583AAB" w:rsidRPr="00A50047" w:rsidRDefault="00F2320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716515" w:history="1">
        <w:r w:rsidR="00583AAB" w:rsidRPr="00A50047">
          <w:rPr>
            <w:rStyle w:val="Hyperlink"/>
            <w:rFonts w:ascii="Arial" w:hAnsi="Arial" w:cs="Arial"/>
            <w:noProof/>
          </w:rPr>
          <w:t>2.3.3</w:t>
        </w:r>
        <w:r w:rsidR="00583AAB" w:rsidRPr="00A50047">
          <w:rPr>
            <w:rFonts w:ascii="Arial" w:eastAsiaTheme="minorEastAsia" w:hAnsi="Arial" w:cs="Arial"/>
            <w:i w:val="0"/>
            <w:iCs w:val="0"/>
            <w:noProof/>
            <w:sz w:val="22"/>
            <w:szCs w:val="22"/>
            <w:lang w:eastAsia="en-GB" w:bidi="ar-SA"/>
          </w:rPr>
          <w:tab/>
        </w:r>
        <w:r w:rsidR="00583AAB" w:rsidRPr="00A50047">
          <w:rPr>
            <w:rStyle w:val="Hyperlink"/>
            <w:rFonts w:ascii="Arial" w:hAnsi="Arial" w:cs="Arial"/>
            <w:noProof/>
          </w:rPr>
          <w:t>Specification</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_Toc447716515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5</w:t>
        </w:r>
        <w:r w:rsidR="00583AAB" w:rsidRPr="00A50047">
          <w:rPr>
            <w:rFonts w:ascii="Arial" w:hAnsi="Arial" w:cs="Arial"/>
            <w:noProof/>
            <w:webHidden/>
          </w:rPr>
          <w:fldChar w:fldCharType="end"/>
        </w:r>
      </w:hyperlink>
    </w:p>
    <w:p w14:paraId="42159A58" w14:textId="77777777" w:rsidR="00583AAB" w:rsidRPr="00A50047" w:rsidRDefault="00F2320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716516" w:history="1">
        <w:r w:rsidR="00583AAB" w:rsidRPr="00A50047">
          <w:rPr>
            <w:rStyle w:val="Hyperlink"/>
            <w:rFonts w:ascii="Arial" w:hAnsi="Arial" w:cs="Arial"/>
            <w:noProof/>
          </w:rPr>
          <w:t>2.3.4</w:t>
        </w:r>
        <w:r w:rsidR="00583AAB" w:rsidRPr="00A50047">
          <w:rPr>
            <w:rFonts w:ascii="Arial" w:eastAsiaTheme="minorEastAsia" w:hAnsi="Arial" w:cs="Arial"/>
            <w:i w:val="0"/>
            <w:iCs w:val="0"/>
            <w:noProof/>
            <w:sz w:val="22"/>
            <w:szCs w:val="22"/>
            <w:lang w:eastAsia="en-GB" w:bidi="ar-SA"/>
          </w:rPr>
          <w:tab/>
        </w:r>
        <w:r w:rsidR="00583AAB" w:rsidRPr="00A50047">
          <w:rPr>
            <w:rStyle w:val="Hyperlink"/>
            <w:rFonts w:ascii="Arial" w:hAnsi="Arial" w:cs="Arial"/>
            <w:noProof/>
          </w:rPr>
          <w:t>Labelling considerations</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_Toc447716516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5</w:t>
        </w:r>
        <w:r w:rsidR="00583AAB" w:rsidRPr="00A50047">
          <w:rPr>
            <w:rFonts w:ascii="Arial" w:hAnsi="Arial" w:cs="Arial"/>
            <w:noProof/>
            <w:webHidden/>
          </w:rPr>
          <w:fldChar w:fldCharType="end"/>
        </w:r>
      </w:hyperlink>
    </w:p>
    <w:p w14:paraId="51CEF883" w14:textId="77777777" w:rsidR="00583AAB" w:rsidRPr="00A50047" w:rsidRDefault="00F2320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716517" w:history="1">
        <w:r w:rsidR="00583AAB" w:rsidRPr="00A50047">
          <w:rPr>
            <w:rStyle w:val="Hyperlink"/>
            <w:rFonts w:ascii="Arial" w:hAnsi="Arial" w:cs="Arial"/>
            <w:noProof/>
          </w:rPr>
          <w:t>2.3.5</w:t>
        </w:r>
        <w:r w:rsidR="00583AAB" w:rsidRPr="00A50047">
          <w:rPr>
            <w:rFonts w:ascii="Arial" w:eastAsiaTheme="minorEastAsia" w:hAnsi="Arial" w:cs="Arial"/>
            <w:i w:val="0"/>
            <w:iCs w:val="0"/>
            <w:noProof/>
            <w:sz w:val="22"/>
            <w:szCs w:val="22"/>
            <w:lang w:eastAsia="en-GB" w:bidi="ar-SA"/>
          </w:rPr>
          <w:tab/>
        </w:r>
        <w:r w:rsidR="00583AAB" w:rsidRPr="00A50047">
          <w:rPr>
            <w:rStyle w:val="Hyperlink"/>
            <w:rFonts w:ascii="Arial" w:hAnsi="Arial" w:cs="Arial"/>
            <w:noProof/>
          </w:rPr>
          <w:t>Cost benefit analysis</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_Toc447716517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6</w:t>
        </w:r>
        <w:r w:rsidR="00583AAB" w:rsidRPr="00A50047">
          <w:rPr>
            <w:rFonts w:ascii="Arial" w:hAnsi="Arial" w:cs="Arial"/>
            <w:noProof/>
            <w:webHidden/>
          </w:rPr>
          <w:fldChar w:fldCharType="end"/>
        </w:r>
      </w:hyperlink>
    </w:p>
    <w:p w14:paraId="0C208B91" w14:textId="77777777" w:rsidR="00583AAB" w:rsidRPr="00A50047" w:rsidRDefault="00F2320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716518" w:history="1">
        <w:r w:rsidR="00583AAB" w:rsidRPr="00A50047">
          <w:rPr>
            <w:rStyle w:val="Hyperlink"/>
            <w:rFonts w:ascii="Arial" w:hAnsi="Arial" w:cs="Arial"/>
            <w:noProof/>
          </w:rPr>
          <w:t>2.3.6</w:t>
        </w:r>
        <w:r w:rsidR="00583AAB" w:rsidRPr="00A50047">
          <w:rPr>
            <w:rFonts w:ascii="Arial" w:eastAsiaTheme="minorEastAsia" w:hAnsi="Arial" w:cs="Arial"/>
            <w:i w:val="0"/>
            <w:iCs w:val="0"/>
            <w:noProof/>
            <w:sz w:val="22"/>
            <w:szCs w:val="22"/>
            <w:lang w:eastAsia="en-GB" w:bidi="ar-SA"/>
          </w:rPr>
          <w:tab/>
        </w:r>
        <w:r w:rsidR="00583AAB" w:rsidRPr="00A50047">
          <w:rPr>
            <w:rStyle w:val="Hyperlink"/>
            <w:rFonts w:ascii="Arial" w:hAnsi="Arial" w:cs="Arial"/>
            <w:noProof/>
          </w:rPr>
          <w:t>Risk management conclusion</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_Toc447716518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6</w:t>
        </w:r>
        <w:r w:rsidR="00583AAB" w:rsidRPr="00A50047">
          <w:rPr>
            <w:rFonts w:ascii="Arial" w:hAnsi="Arial" w:cs="Arial"/>
            <w:noProof/>
            <w:webHidden/>
          </w:rPr>
          <w:fldChar w:fldCharType="end"/>
        </w:r>
      </w:hyperlink>
    </w:p>
    <w:p w14:paraId="5796E236" w14:textId="77777777" w:rsidR="00583AAB" w:rsidRPr="00A50047" w:rsidRDefault="00F23209">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7716519" w:history="1">
        <w:r w:rsidR="00583AAB" w:rsidRPr="00A50047">
          <w:rPr>
            <w:rStyle w:val="Hyperlink"/>
            <w:rFonts w:ascii="Arial" w:hAnsi="Arial" w:cs="Arial"/>
            <w:noProof/>
          </w:rPr>
          <w:t>3</w:t>
        </w:r>
        <w:r w:rsidR="00583AAB" w:rsidRPr="00A50047">
          <w:rPr>
            <w:rFonts w:ascii="Arial" w:eastAsiaTheme="minorEastAsia" w:hAnsi="Arial" w:cs="Arial"/>
            <w:b w:val="0"/>
            <w:bCs w:val="0"/>
            <w:caps w:val="0"/>
            <w:noProof/>
            <w:sz w:val="22"/>
            <w:szCs w:val="22"/>
            <w:lang w:eastAsia="en-GB" w:bidi="ar-SA"/>
          </w:rPr>
          <w:tab/>
        </w:r>
        <w:r w:rsidR="00583AAB" w:rsidRPr="00A50047">
          <w:rPr>
            <w:rStyle w:val="Hyperlink"/>
            <w:rFonts w:ascii="Arial" w:hAnsi="Arial" w:cs="Arial"/>
            <w:noProof/>
          </w:rPr>
          <w:t>Decision</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_Toc447716519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6</w:t>
        </w:r>
        <w:r w:rsidR="00583AAB" w:rsidRPr="00A50047">
          <w:rPr>
            <w:rFonts w:ascii="Arial" w:hAnsi="Arial" w:cs="Arial"/>
            <w:noProof/>
            <w:webHidden/>
          </w:rPr>
          <w:fldChar w:fldCharType="end"/>
        </w:r>
      </w:hyperlink>
    </w:p>
    <w:p w14:paraId="527115B8" w14:textId="77777777" w:rsidR="00583AAB" w:rsidRPr="00A50047" w:rsidRDefault="00F23209">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7716520" w:history="1">
        <w:r w:rsidR="00583AAB" w:rsidRPr="00A50047">
          <w:rPr>
            <w:rStyle w:val="Hyperlink"/>
            <w:rFonts w:ascii="Arial" w:hAnsi="Arial" w:cs="Arial"/>
            <w:noProof/>
          </w:rPr>
          <w:t>4</w:t>
        </w:r>
        <w:r w:rsidR="00583AAB" w:rsidRPr="00A50047">
          <w:rPr>
            <w:rFonts w:ascii="Arial" w:eastAsiaTheme="minorEastAsia" w:hAnsi="Arial" w:cs="Arial"/>
            <w:b w:val="0"/>
            <w:bCs w:val="0"/>
            <w:caps w:val="0"/>
            <w:noProof/>
            <w:sz w:val="22"/>
            <w:szCs w:val="22"/>
            <w:lang w:eastAsia="en-GB" w:bidi="ar-SA"/>
          </w:rPr>
          <w:tab/>
        </w:r>
        <w:r w:rsidR="00583AAB" w:rsidRPr="00A50047">
          <w:rPr>
            <w:rStyle w:val="Hyperlink"/>
            <w:rFonts w:ascii="Arial" w:hAnsi="Arial" w:cs="Arial"/>
            <w:noProof/>
          </w:rPr>
          <w:t>Risk communication</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_Toc447716520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7</w:t>
        </w:r>
        <w:r w:rsidR="00583AAB" w:rsidRPr="00A50047">
          <w:rPr>
            <w:rFonts w:ascii="Arial" w:hAnsi="Arial" w:cs="Arial"/>
            <w:noProof/>
            <w:webHidden/>
          </w:rPr>
          <w:fldChar w:fldCharType="end"/>
        </w:r>
      </w:hyperlink>
    </w:p>
    <w:p w14:paraId="575B2775" w14:textId="77777777" w:rsidR="00583AAB" w:rsidRPr="00A50047" w:rsidRDefault="00F2320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716521" w:history="1">
        <w:r w:rsidR="00583AAB" w:rsidRPr="00A50047">
          <w:rPr>
            <w:rStyle w:val="Hyperlink"/>
            <w:rFonts w:ascii="Arial" w:hAnsi="Arial" w:cs="Arial"/>
            <w:noProof/>
          </w:rPr>
          <w:t>4.1</w:t>
        </w:r>
        <w:r w:rsidR="00583AAB" w:rsidRPr="00A50047">
          <w:rPr>
            <w:rFonts w:ascii="Arial" w:eastAsiaTheme="minorEastAsia" w:hAnsi="Arial" w:cs="Arial"/>
            <w:smallCaps w:val="0"/>
            <w:noProof/>
            <w:sz w:val="22"/>
            <w:szCs w:val="22"/>
            <w:lang w:eastAsia="en-GB" w:bidi="ar-SA"/>
          </w:rPr>
          <w:tab/>
        </w:r>
        <w:r w:rsidR="00583AAB" w:rsidRPr="00A50047">
          <w:rPr>
            <w:rStyle w:val="Hyperlink"/>
            <w:rFonts w:ascii="Arial" w:hAnsi="Arial" w:cs="Arial"/>
            <w:noProof/>
          </w:rPr>
          <w:t>Consultation</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_Toc447716521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7</w:t>
        </w:r>
        <w:r w:rsidR="00583AAB" w:rsidRPr="00A50047">
          <w:rPr>
            <w:rFonts w:ascii="Arial" w:hAnsi="Arial" w:cs="Arial"/>
            <w:noProof/>
            <w:webHidden/>
          </w:rPr>
          <w:fldChar w:fldCharType="end"/>
        </w:r>
      </w:hyperlink>
    </w:p>
    <w:p w14:paraId="5F0597C2" w14:textId="77777777" w:rsidR="00583AAB" w:rsidRPr="00A50047" w:rsidRDefault="00F23209">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7716522" w:history="1">
        <w:r w:rsidR="00583AAB" w:rsidRPr="00A50047">
          <w:rPr>
            <w:rStyle w:val="Hyperlink"/>
            <w:rFonts w:ascii="Arial" w:hAnsi="Arial" w:cs="Arial"/>
            <w:noProof/>
          </w:rPr>
          <w:t>5</w:t>
        </w:r>
        <w:r w:rsidR="00583AAB" w:rsidRPr="00A50047">
          <w:rPr>
            <w:rFonts w:ascii="Arial" w:eastAsiaTheme="minorEastAsia" w:hAnsi="Arial" w:cs="Arial"/>
            <w:b w:val="0"/>
            <w:bCs w:val="0"/>
            <w:caps w:val="0"/>
            <w:noProof/>
            <w:sz w:val="22"/>
            <w:szCs w:val="22"/>
            <w:lang w:eastAsia="en-GB" w:bidi="ar-SA"/>
          </w:rPr>
          <w:tab/>
        </w:r>
        <w:r w:rsidR="00583AAB" w:rsidRPr="00A50047">
          <w:rPr>
            <w:rStyle w:val="Hyperlink"/>
            <w:rFonts w:ascii="Arial" w:hAnsi="Arial" w:cs="Arial"/>
            <w:noProof/>
          </w:rPr>
          <w:t>FSANZ Act assessment requirements</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_Toc447716522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7</w:t>
        </w:r>
        <w:r w:rsidR="00583AAB" w:rsidRPr="00A50047">
          <w:rPr>
            <w:rFonts w:ascii="Arial" w:hAnsi="Arial" w:cs="Arial"/>
            <w:noProof/>
            <w:webHidden/>
          </w:rPr>
          <w:fldChar w:fldCharType="end"/>
        </w:r>
      </w:hyperlink>
    </w:p>
    <w:p w14:paraId="749BC8A9" w14:textId="77777777" w:rsidR="00583AAB" w:rsidRPr="00A50047" w:rsidRDefault="00F2320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716523" w:history="1">
        <w:r w:rsidR="00583AAB" w:rsidRPr="00A50047">
          <w:rPr>
            <w:rStyle w:val="Hyperlink"/>
            <w:rFonts w:ascii="Arial" w:hAnsi="Arial" w:cs="Arial"/>
            <w:noProof/>
          </w:rPr>
          <w:t>5.1</w:t>
        </w:r>
        <w:r w:rsidR="00583AAB" w:rsidRPr="00A50047">
          <w:rPr>
            <w:rFonts w:ascii="Arial" w:eastAsiaTheme="minorEastAsia" w:hAnsi="Arial" w:cs="Arial"/>
            <w:smallCaps w:val="0"/>
            <w:noProof/>
            <w:sz w:val="22"/>
            <w:szCs w:val="22"/>
            <w:lang w:eastAsia="en-GB" w:bidi="ar-SA"/>
          </w:rPr>
          <w:tab/>
        </w:r>
        <w:r w:rsidR="00583AAB" w:rsidRPr="00A50047">
          <w:rPr>
            <w:rStyle w:val="Hyperlink"/>
            <w:rFonts w:ascii="Arial" w:hAnsi="Arial" w:cs="Arial"/>
            <w:noProof/>
          </w:rPr>
          <w:t>Section 29</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_Toc447716523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7</w:t>
        </w:r>
        <w:r w:rsidR="00583AAB" w:rsidRPr="00A50047">
          <w:rPr>
            <w:rFonts w:ascii="Arial" w:hAnsi="Arial" w:cs="Arial"/>
            <w:noProof/>
            <w:webHidden/>
          </w:rPr>
          <w:fldChar w:fldCharType="end"/>
        </w:r>
      </w:hyperlink>
    </w:p>
    <w:p w14:paraId="176DFDC6" w14:textId="77777777" w:rsidR="00583AAB" w:rsidRPr="00A50047" w:rsidRDefault="00F2320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716524" w:history="1">
        <w:r w:rsidR="00583AAB" w:rsidRPr="00A50047">
          <w:rPr>
            <w:rStyle w:val="Hyperlink"/>
            <w:rFonts w:ascii="Arial" w:hAnsi="Arial" w:cs="Arial"/>
            <w:noProof/>
          </w:rPr>
          <w:t>5.1.1</w:t>
        </w:r>
        <w:r w:rsidR="00583AAB" w:rsidRPr="00A50047">
          <w:rPr>
            <w:rFonts w:ascii="Arial" w:eastAsiaTheme="minorEastAsia" w:hAnsi="Arial" w:cs="Arial"/>
            <w:i w:val="0"/>
            <w:iCs w:val="0"/>
            <w:noProof/>
            <w:sz w:val="22"/>
            <w:szCs w:val="22"/>
            <w:lang w:eastAsia="en-GB" w:bidi="ar-SA"/>
          </w:rPr>
          <w:tab/>
        </w:r>
        <w:r w:rsidR="00583AAB" w:rsidRPr="00A50047">
          <w:rPr>
            <w:rStyle w:val="Hyperlink"/>
            <w:rFonts w:ascii="Arial" w:hAnsi="Arial" w:cs="Arial"/>
            <w:noProof/>
          </w:rPr>
          <w:t>Cost benefit analysis</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_Toc447716524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7</w:t>
        </w:r>
        <w:r w:rsidR="00583AAB" w:rsidRPr="00A50047">
          <w:rPr>
            <w:rFonts w:ascii="Arial" w:hAnsi="Arial" w:cs="Arial"/>
            <w:noProof/>
            <w:webHidden/>
          </w:rPr>
          <w:fldChar w:fldCharType="end"/>
        </w:r>
      </w:hyperlink>
    </w:p>
    <w:p w14:paraId="71AD4A80" w14:textId="77777777" w:rsidR="00583AAB" w:rsidRPr="00A50047" w:rsidRDefault="00F2320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716525" w:history="1">
        <w:r w:rsidR="00583AAB" w:rsidRPr="00A50047">
          <w:rPr>
            <w:rStyle w:val="Hyperlink"/>
            <w:rFonts w:ascii="Arial" w:hAnsi="Arial" w:cs="Arial"/>
            <w:noProof/>
          </w:rPr>
          <w:t>5.1.2</w:t>
        </w:r>
        <w:r w:rsidR="00583AAB" w:rsidRPr="00A50047">
          <w:rPr>
            <w:rFonts w:ascii="Arial" w:eastAsiaTheme="minorEastAsia" w:hAnsi="Arial" w:cs="Arial"/>
            <w:i w:val="0"/>
            <w:iCs w:val="0"/>
            <w:noProof/>
            <w:sz w:val="22"/>
            <w:szCs w:val="22"/>
            <w:lang w:eastAsia="en-GB" w:bidi="ar-SA"/>
          </w:rPr>
          <w:tab/>
        </w:r>
        <w:r w:rsidR="00583AAB" w:rsidRPr="00A50047">
          <w:rPr>
            <w:rStyle w:val="Hyperlink"/>
            <w:rFonts w:ascii="Arial" w:hAnsi="Arial" w:cs="Arial"/>
            <w:noProof/>
          </w:rPr>
          <w:t>Other measures</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_Toc447716525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7</w:t>
        </w:r>
        <w:r w:rsidR="00583AAB" w:rsidRPr="00A50047">
          <w:rPr>
            <w:rFonts w:ascii="Arial" w:hAnsi="Arial" w:cs="Arial"/>
            <w:noProof/>
            <w:webHidden/>
          </w:rPr>
          <w:fldChar w:fldCharType="end"/>
        </w:r>
      </w:hyperlink>
    </w:p>
    <w:p w14:paraId="20100BD6" w14:textId="77777777" w:rsidR="00583AAB" w:rsidRPr="00A50047" w:rsidRDefault="00F2320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716526" w:history="1">
        <w:r w:rsidR="00583AAB" w:rsidRPr="00A50047">
          <w:rPr>
            <w:rStyle w:val="Hyperlink"/>
            <w:rFonts w:ascii="Arial" w:hAnsi="Arial" w:cs="Arial"/>
            <w:noProof/>
          </w:rPr>
          <w:t>5.1.3</w:t>
        </w:r>
        <w:r w:rsidR="00583AAB" w:rsidRPr="00A50047">
          <w:rPr>
            <w:rFonts w:ascii="Arial" w:eastAsiaTheme="minorEastAsia" w:hAnsi="Arial" w:cs="Arial"/>
            <w:i w:val="0"/>
            <w:iCs w:val="0"/>
            <w:noProof/>
            <w:sz w:val="22"/>
            <w:szCs w:val="22"/>
            <w:lang w:eastAsia="en-GB" w:bidi="ar-SA"/>
          </w:rPr>
          <w:tab/>
        </w:r>
        <w:r w:rsidR="00583AAB" w:rsidRPr="00A50047">
          <w:rPr>
            <w:rStyle w:val="Hyperlink"/>
            <w:rFonts w:ascii="Arial" w:hAnsi="Arial" w:cs="Arial"/>
            <w:noProof/>
          </w:rPr>
          <w:t>Any relevant New Zealand standards</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_Toc447716526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7</w:t>
        </w:r>
        <w:r w:rsidR="00583AAB" w:rsidRPr="00A50047">
          <w:rPr>
            <w:rFonts w:ascii="Arial" w:hAnsi="Arial" w:cs="Arial"/>
            <w:noProof/>
            <w:webHidden/>
          </w:rPr>
          <w:fldChar w:fldCharType="end"/>
        </w:r>
      </w:hyperlink>
    </w:p>
    <w:p w14:paraId="22A2C379" w14:textId="77777777" w:rsidR="00583AAB" w:rsidRPr="00A50047" w:rsidRDefault="00F2320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716527" w:history="1">
        <w:r w:rsidR="00583AAB" w:rsidRPr="00A50047">
          <w:rPr>
            <w:rStyle w:val="Hyperlink"/>
            <w:rFonts w:ascii="Arial" w:hAnsi="Arial" w:cs="Arial"/>
            <w:noProof/>
          </w:rPr>
          <w:t>5.1.4</w:t>
        </w:r>
        <w:r w:rsidR="00583AAB" w:rsidRPr="00A50047">
          <w:rPr>
            <w:rFonts w:ascii="Arial" w:eastAsiaTheme="minorEastAsia" w:hAnsi="Arial" w:cs="Arial"/>
            <w:i w:val="0"/>
            <w:iCs w:val="0"/>
            <w:noProof/>
            <w:sz w:val="22"/>
            <w:szCs w:val="22"/>
            <w:lang w:eastAsia="en-GB" w:bidi="ar-SA"/>
          </w:rPr>
          <w:tab/>
        </w:r>
        <w:r w:rsidR="00583AAB" w:rsidRPr="00A50047">
          <w:rPr>
            <w:rStyle w:val="Hyperlink"/>
            <w:rFonts w:ascii="Arial" w:hAnsi="Arial" w:cs="Arial"/>
            <w:noProof/>
          </w:rPr>
          <w:t>Any other relevant matters</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_Toc447716527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8</w:t>
        </w:r>
        <w:r w:rsidR="00583AAB" w:rsidRPr="00A50047">
          <w:rPr>
            <w:rFonts w:ascii="Arial" w:hAnsi="Arial" w:cs="Arial"/>
            <w:noProof/>
            <w:webHidden/>
          </w:rPr>
          <w:fldChar w:fldCharType="end"/>
        </w:r>
      </w:hyperlink>
    </w:p>
    <w:p w14:paraId="5931AB4F" w14:textId="77777777" w:rsidR="00583AAB" w:rsidRPr="00A50047" w:rsidRDefault="00F2320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716528" w:history="1">
        <w:r w:rsidR="00583AAB" w:rsidRPr="00A50047">
          <w:rPr>
            <w:rStyle w:val="Hyperlink"/>
            <w:rFonts w:ascii="Arial" w:hAnsi="Arial" w:cs="Arial"/>
            <w:noProof/>
          </w:rPr>
          <w:t>5.2</w:t>
        </w:r>
        <w:r w:rsidR="00583AAB" w:rsidRPr="00A50047">
          <w:rPr>
            <w:rFonts w:ascii="Arial" w:eastAsiaTheme="minorEastAsia" w:hAnsi="Arial" w:cs="Arial"/>
            <w:smallCaps w:val="0"/>
            <w:noProof/>
            <w:sz w:val="22"/>
            <w:szCs w:val="22"/>
            <w:lang w:eastAsia="en-GB" w:bidi="ar-SA"/>
          </w:rPr>
          <w:tab/>
        </w:r>
        <w:r w:rsidR="00583AAB" w:rsidRPr="00A50047">
          <w:rPr>
            <w:rStyle w:val="Hyperlink"/>
            <w:rFonts w:ascii="Arial" w:hAnsi="Arial" w:cs="Arial"/>
            <w:noProof/>
          </w:rPr>
          <w:t>Subsection 18(1)</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_Toc447716528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8</w:t>
        </w:r>
        <w:r w:rsidR="00583AAB" w:rsidRPr="00A50047">
          <w:rPr>
            <w:rFonts w:ascii="Arial" w:hAnsi="Arial" w:cs="Arial"/>
            <w:noProof/>
            <w:webHidden/>
          </w:rPr>
          <w:fldChar w:fldCharType="end"/>
        </w:r>
      </w:hyperlink>
    </w:p>
    <w:p w14:paraId="6185D1EF" w14:textId="77777777" w:rsidR="00583AAB" w:rsidRPr="00A50047" w:rsidRDefault="00F2320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716529" w:history="1">
        <w:r w:rsidR="00583AAB" w:rsidRPr="00A50047">
          <w:rPr>
            <w:rStyle w:val="Hyperlink"/>
            <w:rFonts w:ascii="Arial" w:hAnsi="Arial" w:cs="Arial"/>
            <w:noProof/>
          </w:rPr>
          <w:t>5.2.1</w:t>
        </w:r>
        <w:r w:rsidR="00583AAB" w:rsidRPr="00A50047">
          <w:rPr>
            <w:rFonts w:ascii="Arial" w:eastAsiaTheme="minorEastAsia" w:hAnsi="Arial" w:cs="Arial"/>
            <w:i w:val="0"/>
            <w:iCs w:val="0"/>
            <w:noProof/>
            <w:sz w:val="22"/>
            <w:szCs w:val="22"/>
            <w:lang w:eastAsia="en-GB" w:bidi="ar-SA"/>
          </w:rPr>
          <w:tab/>
        </w:r>
        <w:r w:rsidR="00583AAB" w:rsidRPr="00A50047">
          <w:rPr>
            <w:rStyle w:val="Hyperlink"/>
            <w:rFonts w:ascii="Arial" w:hAnsi="Arial" w:cs="Arial"/>
            <w:noProof/>
          </w:rPr>
          <w:t>Protection of public health and safety</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_Toc447716529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8</w:t>
        </w:r>
        <w:r w:rsidR="00583AAB" w:rsidRPr="00A50047">
          <w:rPr>
            <w:rFonts w:ascii="Arial" w:hAnsi="Arial" w:cs="Arial"/>
            <w:noProof/>
            <w:webHidden/>
          </w:rPr>
          <w:fldChar w:fldCharType="end"/>
        </w:r>
      </w:hyperlink>
    </w:p>
    <w:p w14:paraId="65D3AEAA" w14:textId="77777777" w:rsidR="00583AAB" w:rsidRPr="00A50047" w:rsidRDefault="00F2320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716530" w:history="1">
        <w:r w:rsidR="00583AAB" w:rsidRPr="00A50047">
          <w:rPr>
            <w:rStyle w:val="Hyperlink"/>
            <w:rFonts w:ascii="Arial" w:hAnsi="Arial" w:cs="Arial"/>
            <w:noProof/>
          </w:rPr>
          <w:t>5.2.2</w:t>
        </w:r>
        <w:r w:rsidR="00583AAB" w:rsidRPr="00A50047">
          <w:rPr>
            <w:rFonts w:ascii="Arial" w:eastAsiaTheme="minorEastAsia" w:hAnsi="Arial" w:cs="Arial"/>
            <w:i w:val="0"/>
            <w:iCs w:val="0"/>
            <w:noProof/>
            <w:sz w:val="22"/>
            <w:szCs w:val="22"/>
            <w:lang w:eastAsia="en-GB" w:bidi="ar-SA"/>
          </w:rPr>
          <w:tab/>
        </w:r>
        <w:r w:rsidR="00583AAB" w:rsidRPr="00A50047">
          <w:rPr>
            <w:rStyle w:val="Hyperlink"/>
            <w:rFonts w:ascii="Arial" w:hAnsi="Arial" w:cs="Arial"/>
            <w:noProof/>
          </w:rPr>
          <w:t>The provision of adequate information relating to food to enable consumers to make informed choices</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_Toc447716530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8</w:t>
        </w:r>
        <w:r w:rsidR="00583AAB" w:rsidRPr="00A50047">
          <w:rPr>
            <w:rFonts w:ascii="Arial" w:hAnsi="Arial" w:cs="Arial"/>
            <w:noProof/>
            <w:webHidden/>
          </w:rPr>
          <w:fldChar w:fldCharType="end"/>
        </w:r>
      </w:hyperlink>
    </w:p>
    <w:p w14:paraId="04E09EBB" w14:textId="77777777" w:rsidR="00583AAB" w:rsidRPr="00A50047" w:rsidRDefault="00F23209">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716531" w:history="1">
        <w:r w:rsidR="00583AAB" w:rsidRPr="00A50047">
          <w:rPr>
            <w:rStyle w:val="Hyperlink"/>
            <w:rFonts w:ascii="Arial" w:hAnsi="Arial" w:cs="Arial"/>
            <w:noProof/>
          </w:rPr>
          <w:t>5.2.3</w:t>
        </w:r>
        <w:r w:rsidR="00583AAB" w:rsidRPr="00A50047">
          <w:rPr>
            <w:rFonts w:ascii="Arial" w:eastAsiaTheme="minorEastAsia" w:hAnsi="Arial" w:cs="Arial"/>
            <w:i w:val="0"/>
            <w:iCs w:val="0"/>
            <w:noProof/>
            <w:sz w:val="22"/>
            <w:szCs w:val="22"/>
            <w:lang w:eastAsia="en-GB" w:bidi="ar-SA"/>
          </w:rPr>
          <w:tab/>
        </w:r>
        <w:r w:rsidR="00583AAB" w:rsidRPr="00A50047">
          <w:rPr>
            <w:rStyle w:val="Hyperlink"/>
            <w:rFonts w:ascii="Arial" w:hAnsi="Arial" w:cs="Arial"/>
            <w:noProof/>
          </w:rPr>
          <w:t>The prevention of misleading or deceptive conduct</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_Toc447716531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8</w:t>
        </w:r>
        <w:r w:rsidR="00583AAB" w:rsidRPr="00A50047">
          <w:rPr>
            <w:rFonts w:ascii="Arial" w:hAnsi="Arial" w:cs="Arial"/>
            <w:noProof/>
            <w:webHidden/>
          </w:rPr>
          <w:fldChar w:fldCharType="end"/>
        </w:r>
      </w:hyperlink>
    </w:p>
    <w:p w14:paraId="38361FC9" w14:textId="77777777" w:rsidR="00583AAB" w:rsidRPr="00A50047" w:rsidRDefault="00F2320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716532" w:history="1">
        <w:r w:rsidR="00583AAB" w:rsidRPr="00A50047">
          <w:rPr>
            <w:rStyle w:val="Hyperlink"/>
            <w:rFonts w:ascii="Arial" w:hAnsi="Arial" w:cs="Arial"/>
            <w:noProof/>
            <w:lang w:eastAsia="en-AU"/>
          </w:rPr>
          <w:t>5.3</w:t>
        </w:r>
        <w:r w:rsidR="00583AAB" w:rsidRPr="00A50047">
          <w:rPr>
            <w:rFonts w:ascii="Arial" w:eastAsiaTheme="minorEastAsia" w:hAnsi="Arial" w:cs="Arial"/>
            <w:smallCaps w:val="0"/>
            <w:noProof/>
            <w:sz w:val="22"/>
            <w:szCs w:val="22"/>
            <w:lang w:eastAsia="en-GB" w:bidi="ar-SA"/>
          </w:rPr>
          <w:tab/>
        </w:r>
        <w:r w:rsidR="00583AAB" w:rsidRPr="00A50047">
          <w:rPr>
            <w:rStyle w:val="Hyperlink"/>
            <w:rFonts w:ascii="Arial" w:hAnsi="Arial" w:cs="Arial"/>
            <w:noProof/>
            <w:lang w:eastAsia="en-AU"/>
          </w:rPr>
          <w:t>Subsection 18(2) considerations</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_Toc447716532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8</w:t>
        </w:r>
        <w:r w:rsidR="00583AAB" w:rsidRPr="00A50047">
          <w:rPr>
            <w:rFonts w:ascii="Arial" w:hAnsi="Arial" w:cs="Arial"/>
            <w:noProof/>
            <w:webHidden/>
          </w:rPr>
          <w:fldChar w:fldCharType="end"/>
        </w:r>
      </w:hyperlink>
    </w:p>
    <w:p w14:paraId="0F6E302C" w14:textId="77777777" w:rsidR="00583AAB" w:rsidRPr="00A50047" w:rsidRDefault="00F23209">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7716533" w:history="1">
        <w:r w:rsidR="00583AAB" w:rsidRPr="00A50047">
          <w:rPr>
            <w:rStyle w:val="Hyperlink"/>
            <w:rFonts w:ascii="Arial" w:hAnsi="Arial" w:cs="Arial"/>
            <w:noProof/>
          </w:rPr>
          <w:t>6</w:t>
        </w:r>
        <w:r w:rsidR="00583AAB" w:rsidRPr="00A50047">
          <w:rPr>
            <w:rFonts w:ascii="Arial" w:eastAsiaTheme="minorEastAsia" w:hAnsi="Arial" w:cs="Arial"/>
            <w:b w:val="0"/>
            <w:bCs w:val="0"/>
            <w:caps w:val="0"/>
            <w:noProof/>
            <w:sz w:val="22"/>
            <w:szCs w:val="22"/>
            <w:lang w:eastAsia="en-GB" w:bidi="ar-SA"/>
          </w:rPr>
          <w:tab/>
        </w:r>
        <w:r w:rsidR="00583AAB" w:rsidRPr="00A50047">
          <w:rPr>
            <w:rStyle w:val="Hyperlink"/>
            <w:rFonts w:ascii="Arial" w:hAnsi="Arial" w:cs="Arial"/>
            <w:noProof/>
          </w:rPr>
          <w:t>References</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_Toc447716533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9</w:t>
        </w:r>
        <w:r w:rsidR="00583AAB" w:rsidRPr="00A50047">
          <w:rPr>
            <w:rFonts w:ascii="Arial" w:hAnsi="Arial" w:cs="Arial"/>
            <w:noProof/>
            <w:webHidden/>
          </w:rPr>
          <w:fldChar w:fldCharType="end"/>
        </w:r>
      </w:hyperlink>
    </w:p>
    <w:p w14:paraId="113ACCC6" w14:textId="77777777" w:rsidR="00583AAB" w:rsidRPr="00A50047" w:rsidRDefault="00F23209">
      <w:pPr>
        <w:pStyle w:val="TOC2"/>
        <w:tabs>
          <w:tab w:val="right" w:leader="dot" w:pos="9060"/>
        </w:tabs>
        <w:rPr>
          <w:rFonts w:ascii="Arial" w:eastAsiaTheme="minorEastAsia" w:hAnsi="Arial" w:cs="Arial"/>
          <w:smallCaps w:val="0"/>
          <w:noProof/>
          <w:sz w:val="22"/>
          <w:szCs w:val="22"/>
          <w:lang w:eastAsia="en-GB" w:bidi="ar-SA"/>
        </w:rPr>
      </w:pPr>
      <w:hyperlink w:anchor="_Toc447716534" w:history="1">
        <w:r w:rsidR="00583AAB" w:rsidRPr="00A50047">
          <w:rPr>
            <w:rStyle w:val="Hyperlink"/>
            <w:rFonts w:ascii="Arial" w:hAnsi="Arial" w:cs="Arial"/>
            <w:noProof/>
          </w:rPr>
          <w:t xml:space="preserve">Attachment A – Approved draft variation to the </w:t>
        </w:r>
        <w:r w:rsidR="00583AAB" w:rsidRPr="00A50047">
          <w:rPr>
            <w:rStyle w:val="Hyperlink"/>
            <w:rFonts w:ascii="Arial" w:hAnsi="Arial" w:cs="Arial"/>
            <w:i/>
            <w:noProof/>
          </w:rPr>
          <w:t>Australia New Zealand Food Standards Code</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_Toc447716534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11</w:t>
        </w:r>
        <w:r w:rsidR="00583AAB" w:rsidRPr="00A50047">
          <w:rPr>
            <w:rFonts w:ascii="Arial" w:hAnsi="Arial" w:cs="Arial"/>
            <w:noProof/>
            <w:webHidden/>
          </w:rPr>
          <w:fldChar w:fldCharType="end"/>
        </w:r>
      </w:hyperlink>
    </w:p>
    <w:p w14:paraId="17CE71AB" w14:textId="77777777" w:rsidR="00583AAB" w:rsidRPr="00A50047" w:rsidRDefault="00F23209">
      <w:pPr>
        <w:pStyle w:val="TOC2"/>
        <w:tabs>
          <w:tab w:val="right" w:leader="dot" w:pos="9060"/>
        </w:tabs>
        <w:rPr>
          <w:rFonts w:ascii="Arial" w:eastAsiaTheme="minorEastAsia" w:hAnsi="Arial" w:cs="Arial"/>
          <w:smallCaps w:val="0"/>
          <w:noProof/>
          <w:sz w:val="22"/>
          <w:szCs w:val="22"/>
          <w:lang w:eastAsia="en-GB" w:bidi="ar-SA"/>
        </w:rPr>
      </w:pPr>
      <w:hyperlink w:anchor="_Toc447716535" w:history="1">
        <w:r w:rsidR="00583AAB" w:rsidRPr="00A50047">
          <w:rPr>
            <w:rStyle w:val="Hyperlink"/>
            <w:rFonts w:ascii="Arial" w:hAnsi="Arial" w:cs="Arial"/>
            <w:noProof/>
          </w:rPr>
          <w:t>Attachment B – Explanatory Statement</w:t>
        </w:r>
        <w:r w:rsidR="00583AAB" w:rsidRPr="00A50047">
          <w:rPr>
            <w:rFonts w:ascii="Arial" w:hAnsi="Arial" w:cs="Arial"/>
            <w:noProof/>
            <w:webHidden/>
          </w:rPr>
          <w:tab/>
        </w:r>
        <w:r w:rsidR="00583AAB" w:rsidRPr="00A50047">
          <w:rPr>
            <w:rFonts w:ascii="Arial" w:hAnsi="Arial" w:cs="Arial"/>
            <w:noProof/>
            <w:webHidden/>
          </w:rPr>
          <w:fldChar w:fldCharType="begin"/>
        </w:r>
        <w:r w:rsidR="00583AAB" w:rsidRPr="00A50047">
          <w:rPr>
            <w:rFonts w:ascii="Arial" w:hAnsi="Arial" w:cs="Arial"/>
            <w:noProof/>
            <w:webHidden/>
          </w:rPr>
          <w:instrText xml:space="preserve"> PAGEREF _Toc447716535 \h </w:instrText>
        </w:r>
        <w:r w:rsidR="00583AAB" w:rsidRPr="00A50047">
          <w:rPr>
            <w:rFonts w:ascii="Arial" w:hAnsi="Arial" w:cs="Arial"/>
            <w:noProof/>
            <w:webHidden/>
          </w:rPr>
        </w:r>
        <w:r w:rsidR="00583AAB" w:rsidRPr="00A50047">
          <w:rPr>
            <w:rFonts w:ascii="Arial" w:hAnsi="Arial" w:cs="Arial"/>
            <w:noProof/>
            <w:webHidden/>
          </w:rPr>
          <w:fldChar w:fldCharType="separate"/>
        </w:r>
        <w:r w:rsidR="00AC165D">
          <w:rPr>
            <w:rFonts w:ascii="Arial" w:hAnsi="Arial" w:cs="Arial"/>
            <w:noProof/>
            <w:webHidden/>
          </w:rPr>
          <w:t>13</w:t>
        </w:r>
        <w:r w:rsidR="00583AAB" w:rsidRPr="00A50047">
          <w:rPr>
            <w:rFonts w:ascii="Arial" w:hAnsi="Arial" w:cs="Arial"/>
            <w:noProof/>
            <w:webHidden/>
          </w:rPr>
          <w:fldChar w:fldCharType="end"/>
        </w:r>
      </w:hyperlink>
    </w:p>
    <w:p w14:paraId="2958E9F6" w14:textId="77777777" w:rsidR="0012388D" w:rsidRPr="001113F2" w:rsidRDefault="00B55714" w:rsidP="00C91C02">
      <w:pPr>
        <w:rPr>
          <w:rFonts w:cs="Arial"/>
          <w:szCs w:val="22"/>
        </w:rPr>
      </w:pPr>
      <w:r w:rsidRPr="00A50047">
        <w:rPr>
          <w:rFonts w:cs="Arial"/>
          <w:sz w:val="20"/>
          <w:szCs w:val="20"/>
        </w:rPr>
        <w:fldChar w:fldCharType="end"/>
      </w:r>
    </w:p>
    <w:p w14:paraId="5314389D" w14:textId="77777777" w:rsidR="007F7BF7" w:rsidRDefault="007F7BF7" w:rsidP="00CA5734"/>
    <w:p w14:paraId="49CCCC5B"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documents</w:t>
      </w:r>
      <w:r w:rsidRPr="000B427A">
        <w:rPr>
          <w:b/>
          <w:bCs/>
        </w:rPr>
        <w:t xml:space="preserve"> </w:t>
      </w:r>
    </w:p>
    <w:p w14:paraId="50C8996C" w14:textId="77777777" w:rsidR="00A671E6" w:rsidRPr="0089264A" w:rsidRDefault="00A671E6" w:rsidP="00A671E6">
      <w:pPr>
        <w:rPr>
          <w:szCs w:val="22"/>
        </w:rPr>
      </w:pPr>
    </w:p>
    <w:p w14:paraId="71BD4CB1" w14:textId="16BD0E3B" w:rsidR="007A53BF" w:rsidRDefault="007A53BF" w:rsidP="007A53BF">
      <w:pPr>
        <w:rPr>
          <w:szCs w:val="22"/>
        </w:rPr>
      </w:pPr>
      <w:r w:rsidRPr="0089264A">
        <w:rPr>
          <w:szCs w:val="22"/>
        </w:rPr>
        <w:t xml:space="preserve">The following </w:t>
      </w:r>
      <w:r>
        <w:rPr>
          <w:szCs w:val="22"/>
        </w:rPr>
        <w:t>document</w:t>
      </w:r>
      <w:r w:rsidRPr="0089264A">
        <w:rPr>
          <w:szCs w:val="22"/>
        </w:rPr>
        <w:t xml:space="preserve"> </w:t>
      </w:r>
      <w:r>
        <w:rPr>
          <w:szCs w:val="22"/>
        </w:rPr>
        <w:t xml:space="preserve">which informed the assessment of this </w:t>
      </w:r>
      <w:r w:rsidRPr="00463830">
        <w:rPr>
          <w:color w:val="000000" w:themeColor="text1"/>
          <w:szCs w:val="22"/>
        </w:rPr>
        <w:t>Application</w:t>
      </w:r>
      <w:r>
        <w:rPr>
          <w:szCs w:val="22"/>
        </w:rPr>
        <w:t xml:space="preserve"> </w:t>
      </w:r>
      <w:r w:rsidR="00463830">
        <w:rPr>
          <w:szCs w:val="22"/>
        </w:rPr>
        <w:t>is</w:t>
      </w:r>
      <w:r w:rsidRPr="0089264A">
        <w:rPr>
          <w:szCs w:val="22"/>
        </w:rPr>
        <w:t xml:space="preserve"> available on the FSANZ website at</w:t>
      </w:r>
      <w:r w:rsidRPr="0089264A">
        <w:rPr>
          <w:color w:val="FF0000"/>
          <w:szCs w:val="22"/>
        </w:rPr>
        <w:t xml:space="preserve"> </w:t>
      </w:r>
    </w:p>
    <w:p w14:paraId="4BD0E10E" w14:textId="6EF5B39B" w:rsidR="00463830" w:rsidRDefault="00F23209" w:rsidP="007A53BF">
      <w:pPr>
        <w:rPr>
          <w:szCs w:val="22"/>
        </w:rPr>
      </w:pPr>
      <w:hyperlink r:id="rId18" w:history="1">
        <w:r w:rsidR="00463830" w:rsidRPr="00282B14">
          <w:rPr>
            <w:rStyle w:val="Hyperlink"/>
            <w:szCs w:val="22"/>
          </w:rPr>
          <w:t>http://www.foodstandards.gov.au/code/applications/Pages/A1120AgaroseIonExchangeResinPA.aspx</w:t>
        </w:r>
      </w:hyperlink>
    </w:p>
    <w:p w14:paraId="3F456E3E" w14:textId="77777777" w:rsidR="00463830" w:rsidRDefault="00463830" w:rsidP="007A53BF">
      <w:pPr>
        <w:rPr>
          <w:szCs w:val="22"/>
        </w:rPr>
      </w:pPr>
    </w:p>
    <w:p w14:paraId="76267A59" w14:textId="025130F9" w:rsidR="00463830" w:rsidRPr="001278A9" w:rsidRDefault="00463830" w:rsidP="00463830">
      <w:pPr>
        <w:ind w:left="1134" w:hanging="1134"/>
      </w:pPr>
      <w:r w:rsidRPr="001278A9">
        <w:t>SD1</w:t>
      </w:r>
      <w:r w:rsidRPr="001278A9">
        <w:tab/>
      </w:r>
      <w:r>
        <w:t>Risk and Technical Assessment Report</w:t>
      </w:r>
    </w:p>
    <w:p w14:paraId="17C39022" w14:textId="77777777" w:rsidR="003C4969" w:rsidRPr="00CA5734" w:rsidRDefault="00D15A08" w:rsidP="009A2699">
      <w:pPr>
        <w:spacing w:line="280" w:lineRule="exact"/>
        <w:ind w:left="851" w:hanging="851"/>
        <w:outlineLvl w:val="3"/>
        <w:rPr>
          <w:vanish/>
          <w:color w:val="FF0000"/>
        </w:rPr>
      </w:pPr>
      <w:r w:rsidRPr="00CA5734">
        <w:br w:type="page"/>
      </w:r>
    </w:p>
    <w:p w14:paraId="447D1E26" w14:textId="77777777" w:rsidR="007A53BF" w:rsidRPr="007A53BF" w:rsidRDefault="007A53BF" w:rsidP="00CE59AA">
      <w:pPr>
        <w:pStyle w:val="Heading1"/>
      </w:pPr>
      <w:bookmarkStart w:id="1" w:name="_Toc286391001"/>
      <w:bookmarkStart w:id="2" w:name="_Toc300933414"/>
      <w:bookmarkStart w:id="3" w:name="_Toc370223463"/>
      <w:bookmarkStart w:id="4" w:name="_Toc447716502"/>
      <w:bookmarkStart w:id="5" w:name="_Toc11735627"/>
      <w:bookmarkStart w:id="6" w:name="_Toc29883110"/>
      <w:bookmarkStart w:id="7" w:name="_Toc41906797"/>
      <w:bookmarkStart w:id="8" w:name="_Toc41907544"/>
      <w:bookmarkStart w:id="9" w:name="_Toc120358575"/>
      <w:r w:rsidRPr="007A53BF">
        <w:lastRenderedPageBreak/>
        <w:t>Executive summary</w:t>
      </w:r>
      <w:bookmarkEnd w:id="1"/>
      <w:bookmarkEnd w:id="2"/>
      <w:bookmarkEnd w:id="3"/>
      <w:bookmarkEnd w:id="4"/>
    </w:p>
    <w:p w14:paraId="51496C29" w14:textId="695F844C" w:rsidR="00463830" w:rsidRDefault="00463830" w:rsidP="00463830">
      <w:r w:rsidRPr="00894AFE">
        <w:t xml:space="preserve">Fonterra Co-operative Group Limited submitted an Application seeking permission to use an agarose ion exchange resin as a processing aid in the production of high purity lactoferrin from bovine milk and milk-related products. Lactoferrin, present in milk at very low levels, has a range of physiological functions and the Application indicated that there is increasing interest in its use as a nutraceutical. </w:t>
      </w:r>
    </w:p>
    <w:p w14:paraId="5CE5FE53" w14:textId="77777777" w:rsidR="00463830" w:rsidRDefault="00463830" w:rsidP="00463830"/>
    <w:p w14:paraId="56F40A84" w14:textId="0DFD1255" w:rsidR="00463830" w:rsidRPr="00894AFE" w:rsidRDefault="00463830" w:rsidP="00463830">
      <w:r w:rsidRPr="00894AFE">
        <w:t xml:space="preserve">The </w:t>
      </w:r>
      <w:r w:rsidR="005177B4">
        <w:t xml:space="preserve">agarose ion exchange </w:t>
      </w:r>
      <w:r w:rsidRPr="00894AFE">
        <w:t xml:space="preserve">resin </w:t>
      </w:r>
      <w:r>
        <w:t xml:space="preserve">under consideration </w:t>
      </w:r>
      <w:r w:rsidRPr="00894AFE">
        <w:t xml:space="preserve">consists of porous, spherical beads with a diameter of between 100-300 </w:t>
      </w:r>
      <w:r w:rsidRPr="00894AFE">
        <w:rPr>
          <w:rFonts w:cs="Arial"/>
        </w:rPr>
        <w:t>µ</w:t>
      </w:r>
      <w:r w:rsidRPr="00894AFE">
        <w:t>m. It has strong cation exchange functionality, with the capacity to bind and extract large proteins like lactoferrin from dairy streams such as skim milk and whey, at high flow rates.</w:t>
      </w:r>
      <w:r>
        <w:t xml:space="preserve"> The Applicant claimed it is the </w:t>
      </w:r>
      <w:r w:rsidRPr="00894AFE">
        <w:t xml:space="preserve">only resin with all of the specific characteristics that make it suitable for the commercial extraction of lactoferrin with a high yield and purity. </w:t>
      </w:r>
    </w:p>
    <w:p w14:paraId="6B445EB0" w14:textId="77777777" w:rsidR="00463830" w:rsidRPr="00894AFE" w:rsidRDefault="00463830" w:rsidP="00463830"/>
    <w:p w14:paraId="38F185FE" w14:textId="24A2664B" w:rsidR="00463830" w:rsidRPr="00894AFE" w:rsidRDefault="00463830" w:rsidP="00463830">
      <w:r w:rsidRPr="00894AFE">
        <w:t xml:space="preserve">Processing aids are regulated </w:t>
      </w:r>
      <w:r>
        <w:t>under</w:t>
      </w:r>
      <w:r w:rsidRPr="00894AFE">
        <w:t xml:space="preserve"> Schedule 18 </w:t>
      </w:r>
      <w:r>
        <w:t xml:space="preserve">in the </w:t>
      </w:r>
      <w:r w:rsidRPr="00023970">
        <w:rPr>
          <w:i/>
        </w:rPr>
        <w:t>Australia New Zealand Food Standards Code</w:t>
      </w:r>
      <w:r w:rsidRPr="00E65EEB">
        <w:t>.</w:t>
      </w:r>
      <w:r w:rsidRPr="00894AFE">
        <w:t xml:space="preserve"> </w:t>
      </w:r>
      <w:r>
        <w:t xml:space="preserve">The agarose ion exchange resin </w:t>
      </w:r>
      <w:r w:rsidR="006156E6">
        <w:t xml:space="preserve">is appropriate for listing </w:t>
      </w:r>
      <w:r>
        <w:t>in the</w:t>
      </w:r>
      <w:r w:rsidRPr="00894AFE">
        <w:t xml:space="preserve"> </w:t>
      </w:r>
      <w:r>
        <w:t>t</w:t>
      </w:r>
      <w:r w:rsidRPr="00894AFE">
        <w:t xml:space="preserve">able to subsection S18—9(3), </w:t>
      </w:r>
      <w:r w:rsidR="00336F0F">
        <w:t>and requires</w:t>
      </w:r>
      <w:r w:rsidR="006156E6">
        <w:t xml:space="preserve"> </w:t>
      </w:r>
      <w:r w:rsidRPr="00894AFE">
        <w:t xml:space="preserve">a </w:t>
      </w:r>
      <w:r w:rsidR="0050225F">
        <w:t xml:space="preserve">new </w:t>
      </w:r>
      <w:r w:rsidRPr="00894AFE">
        <w:t xml:space="preserve">specification </w:t>
      </w:r>
      <w:r w:rsidR="006156E6">
        <w:t xml:space="preserve">in </w:t>
      </w:r>
      <w:r>
        <w:t>Schedule 3</w:t>
      </w:r>
      <w:r w:rsidRPr="00894AFE">
        <w:t xml:space="preserve">. </w:t>
      </w:r>
    </w:p>
    <w:p w14:paraId="24AE2516" w14:textId="77777777" w:rsidR="00463830" w:rsidRPr="00894AFE" w:rsidRDefault="00463830" w:rsidP="00463830"/>
    <w:p w14:paraId="4B0AC3CA" w14:textId="267AE787" w:rsidR="00463830" w:rsidRDefault="006156E6" w:rsidP="00463830">
      <w:r>
        <w:t xml:space="preserve">FSANZ’s risk assessment concluded that there were no public health and safety concerns associated with the proposed use of the agarose ion exchange resin and, in its prescribed form and usage, is technologically justified. Therefore, the assessment considered that the resin should be permitted for use as a processing aid. </w:t>
      </w:r>
    </w:p>
    <w:p w14:paraId="0A57F7C8" w14:textId="77777777" w:rsidR="006156E6" w:rsidRDefault="006156E6" w:rsidP="00463830"/>
    <w:p w14:paraId="0FBA468C" w14:textId="59F2F524" w:rsidR="006156E6" w:rsidRDefault="006156E6" w:rsidP="006156E6">
      <w:pPr>
        <w:rPr>
          <w:lang w:val="en-AU" w:eastAsia="en-GB"/>
        </w:rPr>
      </w:pPr>
      <w:r>
        <w:rPr>
          <w:lang w:val="en-AU" w:eastAsia="en-GB"/>
        </w:rPr>
        <w:t xml:space="preserve">The FSANZ Board has approved </w:t>
      </w:r>
      <w:r w:rsidR="005253F0">
        <w:rPr>
          <w:lang w:val="en-AU" w:eastAsia="en-GB"/>
        </w:rPr>
        <w:t xml:space="preserve">a </w:t>
      </w:r>
      <w:r>
        <w:rPr>
          <w:lang w:val="en-AU" w:eastAsia="en-GB"/>
        </w:rPr>
        <w:t xml:space="preserve">draft variation to </w:t>
      </w:r>
      <w:r w:rsidRPr="002D4561">
        <w:rPr>
          <w:lang w:val="en-AU" w:eastAsia="en-GB"/>
        </w:rPr>
        <w:t>the</w:t>
      </w:r>
      <w:r w:rsidR="0050225F">
        <w:rPr>
          <w:lang w:val="en-AU" w:eastAsia="en-GB"/>
        </w:rPr>
        <w:t xml:space="preserve"> table to subsection S18—9(3</w:t>
      </w:r>
      <w:r w:rsidRPr="002D4561">
        <w:rPr>
          <w:lang w:val="en-AU" w:eastAsia="en-GB"/>
        </w:rPr>
        <w:t>)</w:t>
      </w:r>
      <w:r w:rsidR="0050225F">
        <w:rPr>
          <w:lang w:val="en-AU" w:eastAsia="en-GB"/>
        </w:rPr>
        <w:t xml:space="preserve"> and a new section to Schedule 3</w:t>
      </w:r>
      <w:r w:rsidR="007C4086">
        <w:rPr>
          <w:lang w:val="en-AU" w:eastAsia="en-GB"/>
        </w:rPr>
        <w:t xml:space="preserve"> (</w:t>
      </w:r>
      <w:r w:rsidR="0050225F" w:rsidRPr="0050225F">
        <w:rPr>
          <w:lang w:val="en-AU" w:eastAsia="en-GB"/>
        </w:rPr>
        <w:t>S3—34</w:t>
      </w:r>
      <w:r w:rsidR="007C4086">
        <w:rPr>
          <w:lang w:val="en-AU" w:eastAsia="en-GB"/>
        </w:rPr>
        <w:t>)</w:t>
      </w:r>
      <w:r w:rsidR="0050225F" w:rsidRPr="0050225F">
        <w:rPr>
          <w:lang w:val="en-AU" w:eastAsia="en-GB"/>
        </w:rPr>
        <w:t xml:space="preserve">, which sets </w:t>
      </w:r>
      <w:r w:rsidR="007C4086">
        <w:rPr>
          <w:lang w:val="en-AU" w:eastAsia="en-GB"/>
        </w:rPr>
        <w:t xml:space="preserve">out </w:t>
      </w:r>
      <w:r w:rsidR="0050225F" w:rsidRPr="0050225F">
        <w:rPr>
          <w:lang w:val="en-AU" w:eastAsia="en-GB"/>
        </w:rPr>
        <w:t xml:space="preserve">a specification for </w:t>
      </w:r>
      <w:r w:rsidR="007C4086">
        <w:rPr>
          <w:lang w:val="en-AU" w:eastAsia="en-GB"/>
        </w:rPr>
        <w:t xml:space="preserve">the agarose ion exchange resin. </w:t>
      </w:r>
      <w:r w:rsidR="0050225F">
        <w:rPr>
          <w:lang w:val="en-AU" w:eastAsia="en-GB"/>
        </w:rPr>
        <w:t>This will</w:t>
      </w:r>
      <w:r w:rsidR="0050225F" w:rsidRPr="005E196C">
        <w:rPr>
          <w:lang w:val="en-AU" w:eastAsia="en-GB"/>
        </w:rPr>
        <w:t xml:space="preserve"> permit </w:t>
      </w:r>
      <w:r w:rsidR="0050225F">
        <w:rPr>
          <w:lang w:val="en-AU" w:eastAsia="en-GB"/>
        </w:rPr>
        <w:t>the use of the resin</w:t>
      </w:r>
      <w:r w:rsidR="0050225F" w:rsidRPr="002D4561">
        <w:rPr>
          <w:lang w:val="en-AU" w:eastAsia="en-GB"/>
        </w:rPr>
        <w:t xml:space="preserve"> as a processing aid</w:t>
      </w:r>
      <w:r w:rsidR="007C4086">
        <w:rPr>
          <w:lang w:val="en-AU" w:eastAsia="en-GB"/>
        </w:rPr>
        <w:t xml:space="preserve"> </w:t>
      </w:r>
      <w:r w:rsidR="007C4086" w:rsidRPr="00707F02">
        <w:t>in the production of lactoferrin from milk and milk-related products</w:t>
      </w:r>
      <w:r w:rsidR="0050225F" w:rsidRPr="002D4561">
        <w:rPr>
          <w:lang w:val="en-AU" w:eastAsia="en-GB"/>
        </w:rPr>
        <w:t>.</w:t>
      </w:r>
      <w:r w:rsidR="0050225F">
        <w:rPr>
          <w:lang w:val="en-AU" w:eastAsia="en-GB"/>
        </w:rPr>
        <w:t xml:space="preserve"> </w:t>
      </w:r>
    </w:p>
    <w:p w14:paraId="783119DC" w14:textId="77777777" w:rsidR="006156E6" w:rsidRPr="005E196C" w:rsidRDefault="006156E6" w:rsidP="006156E6">
      <w:pPr>
        <w:rPr>
          <w:b/>
          <w:lang w:val="en-AU" w:eastAsia="en-GB"/>
        </w:rPr>
      </w:pPr>
    </w:p>
    <w:p w14:paraId="2BA850F1" w14:textId="29DB684C" w:rsidR="006156E6" w:rsidRDefault="006156E6" w:rsidP="006156E6">
      <w:r w:rsidRPr="005E196C">
        <w:rPr>
          <w:szCs w:val="22"/>
          <w:lang w:val="en-AU" w:eastAsia="en-GB"/>
        </w:rPr>
        <w:t xml:space="preserve">FSANZ received </w:t>
      </w:r>
      <w:r w:rsidR="0050225F" w:rsidRPr="003F104B">
        <w:rPr>
          <w:szCs w:val="22"/>
          <w:lang w:val="en-AU" w:eastAsia="en-GB"/>
        </w:rPr>
        <w:t>five</w:t>
      </w:r>
      <w:r w:rsidRPr="005E196C">
        <w:rPr>
          <w:szCs w:val="22"/>
          <w:lang w:val="en-AU" w:eastAsia="en-GB"/>
        </w:rPr>
        <w:t xml:space="preserve"> submissions on the draft variation following the call for submissions, with all submitters supporting the draft variation.</w:t>
      </w:r>
    </w:p>
    <w:p w14:paraId="3460E199" w14:textId="77777777" w:rsidR="006156E6" w:rsidRPr="00894AFE" w:rsidRDefault="006156E6" w:rsidP="00463830"/>
    <w:p w14:paraId="491D908A" w14:textId="77777777" w:rsidR="00463830" w:rsidRDefault="00463830" w:rsidP="00463830">
      <w:pPr>
        <w:rPr>
          <w:rFonts w:cs="Arial"/>
        </w:rPr>
      </w:pPr>
    </w:p>
    <w:p w14:paraId="3B4DBCF0" w14:textId="3777F337" w:rsidR="00C836FF" w:rsidRDefault="00C836FF" w:rsidP="00463830">
      <w:pPr>
        <w:pStyle w:val="Heading1"/>
      </w:pPr>
      <w:r>
        <w:br w:type="page"/>
      </w:r>
    </w:p>
    <w:p w14:paraId="30561D07" w14:textId="77777777" w:rsidR="007A53BF" w:rsidRPr="007A53BF" w:rsidRDefault="007A53BF" w:rsidP="00CE59AA">
      <w:pPr>
        <w:pStyle w:val="Heading1"/>
      </w:pPr>
      <w:bookmarkStart w:id="10" w:name="_Toc300933417"/>
      <w:bookmarkStart w:id="11" w:name="_Toc370223464"/>
      <w:bookmarkStart w:id="12" w:name="_Toc447716503"/>
      <w:r w:rsidRPr="007A53BF">
        <w:lastRenderedPageBreak/>
        <w:t>1</w:t>
      </w:r>
      <w:r w:rsidRPr="007A53BF">
        <w:tab/>
        <w:t>Introduction</w:t>
      </w:r>
      <w:bookmarkEnd w:id="10"/>
      <w:bookmarkEnd w:id="11"/>
      <w:bookmarkEnd w:id="12"/>
    </w:p>
    <w:p w14:paraId="72A46736" w14:textId="2968568D" w:rsidR="007A53BF" w:rsidRPr="00A50047" w:rsidRDefault="007A53BF" w:rsidP="00CE59AA">
      <w:pPr>
        <w:pStyle w:val="Heading2"/>
      </w:pPr>
      <w:bookmarkStart w:id="13" w:name="_Toc300761890"/>
      <w:bookmarkStart w:id="14" w:name="_Toc447716504"/>
      <w:bookmarkStart w:id="15" w:name="_Toc300933419"/>
      <w:bookmarkStart w:id="16" w:name="_Toc370223465"/>
      <w:r w:rsidRPr="00A50047">
        <w:t>1.1</w:t>
      </w:r>
      <w:r w:rsidRPr="00A50047">
        <w:tab/>
        <w:t>The Applicant</w:t>
      </w:r>
      <w:bookmarkEnd w:id="13"/>
      <w:bookmarkEnd w:id="14"/>
      <w:bookmarkEnd w:id="15"/>
      <w:bookmarkEnd w:id="16"/>
    </w:p>
    <w:p w14:paraId="388EBA64" w14:textId="0350A3CE" w:rsidR="007C4086" w:rsidRPr="00827ED6" w:rsidRDefault="007C4086" w:rsidP="007C4086">
      <w:bookmarkStart w:id="17" w:name="_Toc300761891"/>
      <w:bookmarkStart w:id="18" w:name="_Toc300933420"/>
      <w:bookmarkStart w:id="19" w:name="_Toc370223466"/>
      <w:r w:rsidRPr="00827ED6">
        <w:t xml:space="preserve">The Applicant </w:t>
      </w:r>
      <w:r w:rsidR="004A6DED">
        <w:t>was</w:t>
      </w:r>
      <w:r w:rsidRPr="00827ED6">
        <w:t xml:space="preserve"> </w:t>
      </w:r>
      <w:r>
        <w:t>Fonterra Co-operative Group Limited,</w:t>
      </w:r>
      <w:r w:rsidRPr="00827ED6">
        <w:t xml:space="preserve"> </w:t>
      </w:r>
      <w:r>
        <w:t xml:space="preserve">a New </w:t>
      </w:r>
      <w:r w:rsidR="00243C7C">
        <w:t>Zealand-based</w:t>
      </w:r>
      <w:r>
        <w:t xml:space="preserve"> global dairy company that processes and exports a range of dairy products and ingredients internationally.</w:t>
      </w:r>
    </w:p>
    <w:p w14:paraId="4F4E44D0" w14:textId="285D9A7D" w:rsidR="007A53BF" w:rsidRPr="007A53BF" w:rsidRDefault="007A53BF" w:rsidP="00CE59AA">
      <w:pPr>
        <w:pStyle w:val="Heading2"/>
      </w:pPr>
      <w:bookmarkStart w:id="20" w:name="_Toc447716505"/>
      <w:r w:rsidRPr="007A53BF">
        <w:t>1.2</w:t>
      </w:r>
      <w:r w:rsidRPr="007A53BF">
        <w:tab/>
        <w:t xml:space="preserve">The </w:t>
      </w:r>
      <w:r w:rsidRPr="007C4086">
        <w:t>Application</w:t>
      </w:r>
      <w:bookmarkEnd w:id="17"/>
      <w:bookmarkEnd w:id="18"/>
      <w:bookmarkEnd w:id="19"/>
      <w:bookmarkEnd w:id="20"/>
    </w:p>
    <w:p w14:paraId="22730CFB" w14:textId="481B2401" w:rsidR="007C4086" w:rsidRDefault="007C4086" w:rsidP="007C4086">
      <w:pPr>
        <w:tabs>
          <w:tab w:val="left" w:pos="1530"/>
        </w:tabs>
      </w:pPr>
      <w:bookmarkStart w:id="21" w:name="_Toc300761892"/>
      <w:bookmarkStart w:id="22" w:name="_Toc300933421"/>
      <w:bookmarkStart w:id="23" w:name="_Toc370223467"/>
      <w:r>
        <w:t>The Application was received on 23 September 2015.</w:t>
      </w:r>
    </w:p>
    <w:p w14:paraId="69EFC257" w14:textId="77777777" w:rsidR="007C4086" w:rsidRDefault="007C4086" w:rsidP="007C4086">
      <w:pPr>
        <w:tabs>
          <w:tab w:val="left" w:pos="1530"/>
        </w:tabs>
      </w:pPr>
    </w:p>
    <w:p w14:paraId="225A7DA5" w14:textId="3DCC953E" w:rsidR="007C4086" w:rsidRDefault="007C4086" w:rsidP="007C4086">
      <w:pPr>
        <w:tabs>
          <w:tab w:val="left" w:pos="1530"/>
        </w:tabs>
      </w:pPr>
      <w:r>
        <w:t xml:space="preserve">The purpose of the Application was to seek </w:t>
      </w:r>
      <w:r w:rsidRPr="00E477A1">
        <w:t xml:space="preserve">permission to use </w:t>
      </w:r>
      <w:r>
        <w:t xml:space="preserve">an </w:t>
      </w:r>
      <w:r w:rsidRPr="00E32F5C">
        <w:t xml:space="preserve">agarose ion exchange resin as a processing aid in the production of high purity lactoferrin from bovine milk and </w:t>
      </w:r>
      <w:r>
        <w:t>milk-related</w:t>
      </w:r>
      <w:r w:rsidRPr="00E32F5C">
        <w:t xml:space="preserve"> products</w:t>
      </w:r>
      <w:r w:rsidRPr="00E477A1">
        <w:t>.</w:t>
      </w:r>
      <w:r>
        <w:t xml:space="preserve"> The resin achieves this by binding and extracting lactoferrin from dairy streams such as skim milk and whey. </w:t>
      </w:r>
    </w:p>
    <w:p w14:paraId="0492E4CF" w14:textId="77777777" w:rsidR="007C4086" w:rsidRDefault="007C4086" w:rsidP="007C4086">
      <w:pPr>
        <w:tabs>
          <w:tab w:val="left" w:pos="1530"/>
        </w:tabs>
      </w:pPr>
    </w:p>
    <w:p w14:paraId="12607FB7" w14:textId="4450C042" w:rsidR="007C4086" w:rsidRDefault="007C4086" w:rsidP="007C4086">
      <w:pPr>
        <w:tabs>
          <w:tab w:val="left" w:pos="1530"/>
        </w:tabs>
      </w:pPr>
      <w:r w:rsidRPr="003B7B9B">
        <w:t xml:space="preserve">Lactoferrin, present in milk at very low levels, </w:t>
      </w:r>
      <w:r>
        <w:t>has</w:t>
      </w:r>
      <w:r w:rsidRPr="003B7B9B">
        <w:t xml:space="preserve"> a range of physiological </w:t>
      </w:r>
      <w:r>
        <w:t xml:space="preserve">functions and the Application indicated </w:t>
      </w:r>
      <w:r w:rsidRPr="003B7B9B">
        <w:t>that there is increasing interest in its use as a nutraceutical</w:t>
      </w:r>
      <w:r w:rsidR="00E63860">
        <w:rPr>
          <w:rStyle w:val="FootnoteReference"/>
        </w:rPr>
        <w:footnoteReference w:id="1"/>
      </w:r>
      <w:r>
        <w:t xml:space="preserve">. </w:t>
      </w:r>
    </w:p>
    <w:p w14:paraId="1B1050E5" w14:textId="77777777" w:rsidR="007C4086" w:rsidRDefault="007C4086" w:rsidP="007C4086">
      <w:pPr>
        <w:tabs>
          <w:tab w:val="left" w:pos="1530"/>
        </w:tabs>
      </w:pPr>
    </w:p>
    <w:p w14:paraId="19DA03C6" w14:textId="7CC5E50C" w:rsidR="00405D23" w:rsidRDefault="007C4086" w:rsidP="00405D23">
      <w:r w:rsidRPr="00E32F5C">
        <w:t>The agarose ion exchange resin consists of porous, spherical beads with a diameter of between 100</w:t>
      </w:r>
      <w:r>
        <w:t>–</w:t>
      </w:r>
      <w:r w:rsidRPr="00E32F5C">
        <w:t xml:space="preserve">300 µm. It </w:t>
      </w:r>
      <w:r>
        <w:t xml:space="preserve">comprises an agarose backbone cross-linked with epichlorohydrin and reacted with allyl glycidyl ether (or alternatively propylene oxide), and then derivatised with sulphonate groups to provide cation exchange functionality, which allows for effective binding and extraction of lactoferrin. </w:t>
      </w:r>
    </w:p>
    <w:p w14:paraId="5BCF7FD8" w14:textId="77777777" w:rsidR="00405D23" w:rsidRDefault="00405D23" w:rsidP="00405D23"/>
    <w:p w14:paraId="5BFC2A9F" w14:textId="01E3DC69" w:rsidR="007C4086" w:rsidRDefault="00405D23" w:rsidP="00C00058">
      <w:pPr>
        <w:ind w:right="-286"/>
      </w:pPr>
      <w:r>
        <w:t xml:space="preserve">In typical use, the agarose ion exchange resin is packed into a fixed-bed ion exchange column, washed, rinsed and equilibrated. A pre-treated dairy stream (whey or skim milk) is passed through the column. Between 60-100% of lactoferrin may be adsorbed (bound) to the charged functional groups of the resin. </w:t>
      </w:r>
      <w:r w:rsidR="00EE5767">
        <w:t>L</w:t>
      </w:r>
      <w:r>
        <w:t xml:space="preserve">actoferrin is desorbed (detached) from the resin using a buffer. It then undergoes a process of ultrafiltration and drying to produce the finished product </w:t>
      </w:r>
      <w:r w:rsidR="00ED00C8">
        <w:t>powder</w:t>
      </w:r>
      <w:r>
        <w:t>.</w:t>
      </w:r>
    </w:p>
    <w:p w14:paraId="73FBEFE6" w14:textId="77777777" w:rsidR="007C4086" w:rsidRDefault="007C4086" w:rsidP="007C4086">
      <w:pPr>
        <w:tabs>
          <w:tab w:val="left" w:pos="1530"/>
        </w:tabs>
      </w:pPr>
    </w:p>
    <w:p w14:paraId="232F381A" w14:textId="1D12FECE" w:rsidR="007C4086" w:rsidRDefault="007C4086" w:rsidP="00C00058">
      <w:pPr>
        <w:tabs>
          <w:tab w:val="left" w:pos="1530"/>
        </w:tabs>
        <w:ind w:right="-286"/>
      </w:pPr>
      <w:r>
        <w:t>T</w:t>
      </w:r>
      <w:r w:rsidRPr="005F3677">
        <w:t xml:space="preserve">he </w:t>
      </w:r>
      <w:r>
        <w:t xml:space="preserve">Applicant </w:t>
      </w:r>
      <w:r w:rsidR="00405D23">
        <w:t>reported</w:t>
      </w:r>
      <w:r>
        <w:t xml:space="preserve"> that the resin has been fully evaluated for safety for the intended purpose and is approved by </w:t>
      </w:r>
      <w:r w:rsidRPr="00492A63">
        <w:t xml:space="preserve">the United States Food and Drug Administration (USFDA) </w:t>
      </w:r>
      <w:r>
        <w:t>as a food contact substance. Although other techniques have been studied, the resin is the only viable commercial method currently available to efficiently produce lactoferrin</w:t>
      </w:r>
      <w:r w:rsidR="00ED00C8">
        <w:t xml:space="preserve"> with a high yield and purity</w:t>
      </w:r>
      <w:r>
        <w:t xml:space="preserve">. As such, it has been used in other countries since lactoferrin was first produced commercially in 1986. Guidelines for the main process steps </w:t>
      </w:r>
      <w:r w:rsidR="00405D23">
        <w:t>were</w:t>
      </w:r>
      <w:r>
        <w:t xml:space="preserve"> provided in the Application. </w:t>
      </w:r>
    </w:p>
    <w:p w14:paraId="4A6E6260" w14:textId="77777777" w:rsidR="007A53BF" w:rsidRPr="007A53BF" w:rsidRDefault="007A53BF" w:rsidP="00CE59AA">
      <w:pPr>
        <w:pStyle w:val="Heading2"/>
      </w:pPr>
      <w:bookmarkStart w:id="24" w:name="_Toc447716506"/>
      <w:r w:rsidRPr="007A53BF">
        <w:t>1.3</w:t>
      </w:r>
      <w:r w:rsidRPr="007A53BF">
        <w:tab/>
        <w:t>The current Standard</w:t>
      </w:r>
      <w:bookmarkEnd w:id="21"/>
      <w:bookmarkEnd w:id="22"/>
      <w:bookmarkEnd w:id="23"/>
      <w:bookmarkEnd w:id="24"/>
    </w:p>
    <w:p w14:paraId="37899FC4" w14:textId="10E91EAD" w:rsidR="00EE5767" w:rsidRDefault="00ED00C8" w:rsidP="00ED00C8">
      <w:bookmarkStart w:id="25" w:name="_Toc286391007"/>
      <w:bookmarkStart w:id="26" w:name="_Toc300933423"/>
      <w:bookmarkStart w:id="27" w:name="_Toc370223468"/>
      <w:bookmarkStart w:id="28" w:name="_Toc175381432"/>
      <w:r>
        <w:rPr>
          <w:color w:val="000000" w:themeColor="text1"/>
        </w:rPr>
        <w:t xml:space="preserve">Ion exchange resins used in processing and manufacturing food are considered processing aids. Only those processing aids listed in Schedule </w:t>
      </w:r>
      <w:r>
        <w:t xml:space="preserve">18 </w:t>
      </w:r>
      <w:r w:rsidR="00C00058">
        <w:t>in</w:t>
      </w:r>
      <w:r>
        <w:t xml:space="preserve"> the </w:t>
      </w:r>
      <w:r w:rsidR="00C00058" w:rsidRPr="00C00058">
        <w:rPr>
          <w:i/>
        </w:rPr>
        <w:t xml:space="preserve">Australia New Zealand Food Standards Code </w:t>
      </w:r>
      <w:r w:rsidR="00C00058">
        <w:t>(the Code)</w:t>
      </w:r>
      <w:r>
        <w:t xml:space="preserve"> are permitted to be used in producing food sold in Australia and New Zealand.</w:t>
      </w:r>
      <w:r w:rsidRPr="0082591D">
        <w:t xml:space="preserve"> </w:t>
      </w:r>
    </w:p>
    <w:p w14:paraId="3E58DDCD" w14:textId="77777777" w:rsidR="00EE5767" w:rsidRPr="007A53BF" w:rsidRDefault="00EE5767" w:rsidP="00EE5767">
      <w:pPr>
        <w:pStyle w:val="Heading2"/>
        <w:rPr>
          <w:u w:color="FFFF00"/>
        </w:rPr>
      </w:pPr>
      <w:bookmarkStart w:id="29" w:name="_Toc446332220"/>
      <w:bookmarkStart w:id="30" w:name="_Toc447716507"/>
      <w:bookmarkEnd w:id="25"/>
      <w:bookmarkEnd w:id="26"/>
      <w:bookmarkEnd w:id="27"/>
      <w:bookmarkEnd w:id="28"/>
      <w:r w:rsidRPr="007A53BF">
        <w:rPr>
          <w:u w:color="FFFF00"/>
        </w:rPr>
        <w:t>1.4</w:t>
      </w:r>
      <w:r w:rsidRPr="007A53BF">
        <w:rPr>
          <w:u w:color="FFFF00"/>
        </w:rPr>
        <w:tab/>
      </w:r>
      <w:r w:rsidRPr="008A17A9">
        <w:rPr>
          <w:u w:color="FFFF00"/>
        </w:rPr>
        <w:t>Reasons for accepting Application</w:t>
      </w:r>
      <w:bookmarkEnd w:id="29"/>
      <w:bookmarkEnd w:id="30"/>
      <w:r w:rsidRPr="008A17A9">
        <w:rPr>
          <w:u w:color="FFFF00"/>
        </w:rPr>
        <w:t xml:space="preserve"> </w:t>
      </w:r>
    </w:p>
    <w:p w14:paraId="7241D564" w14:textId="77777777" w:rsidR="00EE5767" w:rsidRPr="008738D6" w:rsidRDefault="00EE5767" w:rsidP="00EE5767">
      <w:r w:rsidRPr="008738D6">
        <w:t>The Application was accepted for assessment because:</w:t>
      </w:r>
    </w:p>
    <w:p w14:paraId="62A447F3" w14:textId="77777777" w:rsidR="00EE5767" w:rsidRPr="008A17A9" w:rsidRDefault="00EE5767" w:rsidP="00EE5767"/>
    <w:p w14:paraId="53692166" w14:textId="77777777" w:rsidR="00EE5767" w:rsidRPr="008A17A9" w:rsidRDefault="00EE5767" w:rsidP="00EE5767">
      <w:pPr>
        <w:pStyle w:val="FSBullet"/>
        <w:numPr>
          <w:ilvl w:val="0"/>
          <w:numId w:val="32"/>
        </w:numPr>
        <w:ind w:left="567" w:hanging="567"/>
      </w:pPr>
      <w:r w:rsidRPr="008A17A9">
        <w:t>it complied with the procedural requirements under subsection 22(2) of the FSANZ Act</w:t>
      </w:r>
    </w:p>
    <w:p w14:paraId="03332405" w14:textId="15A8ADC3" w:rsidR="00C00058" w:rsidRDefault="00EE5767" w:rsidP="00EE5767">
      <w:pPr>
        <w:pStyle w:val="FSBullet"/>
        <w:numPr>
          <w:ilvl w:val="0"/>
          <w:numId w:val="32"/>
        </w:numPr>
        <w:ind w:left="567" w:hanging="567"/>
      </w:pPr>
      <w:r w:rsidRPr="008A17A9">
        <w:t>it related to a matter that might be developed as a food regulatory measure.</w:t>
      </w:r>
      <w:r w:rsidR="00C00058">
        <w:br w:type="page"/>
      </w:r>
    </w:p>
    <w:p w14:paraId="5BF97EC0" w14:textId="77777777" w:rsidR="00EE5767" w:rsidRPr="007A53BF" w:rsidRDefault="00EE5767" w:rsidP="00EE5767">
      <w:pPr>
        <w:pStyle w:val="Heading2"/>
      </w:pPr>
      <w:bookmarkStart w:id="31" w:name="_Toc370223469"/>
      <w:bookmarkStart w:id="32" w:name="_Toc446332221"/>
      <w:bookmarkStart w:id="33" w:name="_Toc447716508"/>
      <w:r w:rsidRPr="007A53BF">
        <w:lastRenderedPageBreak/>
        <w:t>1.5</w:t>
      </w:r>
      <w:r w:rsidRPr="007A53BF">
        <w:tab/>
        <w:t>Procedure for assessment</w:t>
      </w:r>
      <w:bookmarkEnd w:id="31"/>
      <w:bookmarkEnd w:id="32"/>
      <w:bookmarkEnd w:id="33"/>
    </w:p>
    <w:p w14:paraId="0D8068AB" w14:textId="77777777" w:rsidR="00EE5767" w:rsidRDefault="00EE5767" w:rsidP="00EE5767">
      <w:r>
        <w:t>The Application</w:t>
      </w:r>
      <w:r w:rsidRPr="00CA5734">
        <w:rPr>
          <w:color w:val="FF0000"/>
        </w:rPr>
        <w:t xml:space="preserve"> </w:t>
      </w:r>
      <w:r>
        <w:t xml:space="preserve">was </w:t>
      </w:r>
      <w:r w:rsidRPr="00932F14">
        <w:t xml:space="preserve">assessed under the </w:t>
      </w:r>
      <w:r>
        <w:t>General</w:t>
      </w:r>
      <w:r w:rsidRPr="00932F14">
        <w:t xml:space="preserve"> </w:t>
      </w:r>
      <w:r>
        <w:t>P</w:t>
      </w:r>
      <w:r w:rsidRPr="00932F14">
        <w:t>rocedure.</w:t>
      </w:r>
    </w:p>
    <w:p w14:paraId="077D8D49" w14:textId="77777777" w:rsidR="00EE5767" w:rsidRDefault="00EE5767" w:rsidP="00EE5767">
      <w:pPr>
        <w:pStyle w:val="Heading1"/>
      </w:pPr>
      <w:bookmarkStart w:id="34" w:name="_Toc446332222"/>
      <w:bookmarkStart w:id="35" w:name="_Toc447716509"/>
      <w:bookmarkStart w:id="36" w:name="_Toc11735630"/>
      <w:bookmarkStart w:id="37" w:name="_Toc29883114"/>
      <w:bookmarkStart w:id="38" w:name="_Toc41906801"/>
      <w:bookmarkStart w:id="39" w:name="_Toc41907548"/>
      <w:bookmarkStart w:id="40" w:name="_Toc120358578"/>
      <w:bookmarkStart w:id="41" w:name="_Toc175381435"/>
      <w:bookmarkEnd w:id="5"/>
      <w:bookmarkEnd w:id="6"/>
      <w:bookmarkEnd w:id="7"/>
      <w:bookmarkEnd w:id="8"/>
      <w:bookmarkEnd w:id="9"/>
      <w:r>
        <w:t>2</w:t>
      </w:r>
      <w:r>
        <w:tab/>
      </w:r>
      <w:r w:rsidRPr="00CC560B">
        <w:t xml:space="preserve">Summary </w:t>
      </w:r>
      <w:r w:rsidRPr="000B6AF2">
        <w:rPr>
          <w:u w:color="FFFF00"/>
        </w:rPr>
        <w:t>of</w:t>
      </w:r>
      <w:r w:rsidRPr="00CC560B">
        <w:t xml:space="preserve"> the findings</w:t>
      </w:r>
      <w:bookmarkEnd w:id="34"/>
      <w:bookmarkEnd w:id="35"/>
    </w:p>
    <w:p w14:paraId="76A1DE6B" w14:textId="77777777" w:rsidR="00EE5767" w:rsidRPr="002C1A3B" w:rsidRDefault="00EE5767" w:rsidP="00EE5767">
      <w:pPr>
        <w:pStyle w:val="Heading2"/>
      </w:pPr>
      <w:bookmarkStart w:id="42" w:name="_Toc446332223"/>
      <w:bookmarkStart w:id="43" w:name="_Toc447716510"/>
      <w:r w:rsidRPr="002C1A3B">
        <w:t>2.1</w:t>
      </w:r>
      <w:r w:rsidRPr="002C1A3B">
        <w:tab/>
        <w:t>Summary of issues raised in submissions</w:t>
      </w:r>
      <w:bookmarkEnd w:id="42"/>
      <w:bookmarkEnd w:id="43"/>
    </w:p>
    <w:p w14:paraId="3ADE9D5A" w14:textId="780ADC2F" w:rsidR="00EE5767" w:rsidRPr="008A17A9" w:rsidRDefault="002672E8" w:rsidP="002672E8">
      <w:pPr>
        <w:rPr>
          <w:b/>
          <w:szCs w:val="22"/>
          <w:lang w:val="en-AU" w:eastAsia="en-GB"/>
        </w:rPr>
      </w:pPr>
      <w:r>
        <w:rPr>
          <w:szCs w:val="22"/>
        </w:rPr>
        <w:t xml:space="preserve">FSANZ called </w:t>
      </w:r>
      <w:r w:rsidRPr="00786BB7">
        <w:rPr>
          <w:szCs w:val="22"/>
        </w:rPr>
        <w:t>for public comment</w:t>
      </w:r>
      <w:r w:rsidR="00780263">
        <w:rPr>
          <w:szCs w:val="22"/>
        </w:rPr>
        <w:t xml:space="preserve"> on a draft variation to the Code</w:t>
      </w:r>
      <w:r w:rsidRPr="00786BB7">
        <w:rPr>
          <w:szCs w:val="22"/>
        </w:rPr>
        <w:t xml:space="preserve"> </w:t>
      </w:r>
      <w:r w:rsidRPr="00495F53">
        <w:rPr>
          <w:szCs w:val="22"/>
        </w:rPr>
        <w:t xml:space="preserve">between </w:t>
      </w:r>
      <w:r>
        <w:rPr>
          <w:rFonts w:eastAsia="Calibri"/>
        </w:rPr>
        <w:t xml:space="preserve">16 February 2016 </w:t>
      </w:r>
      <w:r w:rsidRPr="00495F53">
        <w:rPr>
          <w:szCs w:val="22"/>
        </w:rPr>
        <w:t xml:space="preserve">and </w:t>
      </w:r>
      <w:r>
        <w:rPr>
          <w:szCs w:val="22"/>
        </w:rPr>
        <w:t>29</w:t>
      </w:r>
      <w:r w:rsidRPr="00495F53">
        <w:rPr>
          <w:szCs w:val="22"/>
        </w:rPr>
        <w:t xml:space="preserve"> March 2016 after</w:t>
      </w:r>
      <w:r w:rsidRPr="00786BB7">
        <w:rPr>
          <w:szCs w:val="22"/>
        </w:rPr>
        <w:t xml:space="preserve"> assessing the Application. </w:t>
      </w:r>
      <w:r w:rsidR="00EE5767">
        <w:rPr>
          <w:szCs w:val="22"/>
          <w:lang w:val="en-AU" w:eastAsia="en-GB"/>
        </w:rPr>
        <w:t>Five s</w:t>
      </w:r>
      <w:r w:rsidR="00EE5767" w:rsidRPr="005E196C">
        <w:rPr>
          <w:szCs w:val="22"/>
          <w:lang w:val="en-AU" w:eastAsia="en-GB"/>
        </w:rPr>
        <w:t xml:space="preserve">ubmissions on the draft variation </w:t>
      </w:r>
      <w:r w:rsidR="00EE5767">
        <w:rPr>
          <w:szCs w:val="22"/>
          <w:lang w:val="en-AU" w:eastAsia="en-GB"/>
        </w:rPr>
        <w:t xml:space="preserve">were received – two from government departments </w:t>
      </w:r>
      <w:r w:rsidR="00EE5767" w:rsidRPr="008A17A9">
        <w:rPr>
          <w:szCs w:val="22"/>
          <w:lang w:val="en-AU" w:eastAsia="en-GB"/>
        </w:rPr>
        <w:t xml:space="preserve">(one Australian; one New Zealand) and </w:t>
      </w:r>
      <w:r w:rsidR="00B54243">
        <w:rPr>
          <w:szCs w:val="22"/>
          <w:lang w:val="en-AU" w:eastAsia="en-GB"/>
        </w:rPr>
        <w:t>three</w:t>
      </w:r>
      <w:r w:rsidR="00EE5767" w:rsidRPr="008A17A9">
        <w:rPr>
          <w:szCs w:val="22"/>
          <w:lang w:val="en-AU" w:eastAsia="en-GB"/>
        </w:rPr>
        <w:t xml:space="preserve"> from </w:t>
      </w:r>
      <w:r w:rsidR="009B1FDA">
        <w:rPr>
          <w:szCs w:val="22"/>
          <w:lang w:val="en-AU" w:eastAsia="en-GB"/>
        </w:rPr>
        <w:t xml:space="preserve">the </w:t>
      </w:r>
      <w:r w:rsidR="00EE5767">
        <w:rPr>
          <w:szCs w:val="22"/>
          <w:lang w:val="en-AU" w:eastAsia="en-GB"/>
        </w:rPr>
        <w:t xml:space="preserve">food industry. </w:t>
      </w:r>
      <w:r w:rsidR="003A0DB8">
        <w:rPr>
          <w:szCs w:val="22"/>
          <w:lang w:val="en-AU" w:eastAsia="en-GB"/>
        </w:rPr>
        <w:t xml:space="preserve">The </w:t>
      </w:r>
      <w:r w:rsidR="00677214">
        <w:rPr>
          <w:szCs w:val="22"/>
          <w:lang w:val="en-AU" w:eastAsia="en-GB"/>
        </w:rPr>
        <w:t>d</w:t>
      </w:r>
      <w:r w:rsidR="00EE5767" w:rsidRPr="008A17A9">
        <w:rPr>
          <w:szCs w:val="22"/>
          <w:lang w:val="en-AU" w:eastAsia="en-GB"/>
        </w:rPr>
        <w:t xml:space="preserve">raft variation to </w:t>
      </w:r>
      <w:r w:rsidR="00B54243">
        <w:rPr>
          <w:szCs w:val="22"/>
          <w:lang w:val="en-AU" w:eastAsia="en-GB"/>
        </w:rPr>
        <w:t>Schedule</w:t>
      </w:r>
      <w:r w:rsidR="00780263">
        <w:rPr>
          <w:szCs w:val="22"/>
          <w:lang w:val="en-AU" w:eastAsia="en-GB"/>
        </w:rPr>
        <w:t>s</w:t>
      </w:r>
      <w:r w:rsidR="00B54243">
        <w:rPr>
          <w:szCs w:val="22"/>
          <w:lang w:val="en-AU" w:eastAsia="en-GB"/>
        </w:rPr>
        <w:t xml:space="preserve"> 18 and 3 </w:t>
      </w:r>
      <w:r w:rsidR="005253F0">
        <w:rPr>
          <w:szCs w:val="22"/>
          <w:lang w:val="en-AU" w:eastAsia="en-GB"/>
        </w:rPr>
        <w:t>was</w:t>
      </w:r>
      <w:r w:rsidR="00EE5767" w:rsidRPr="008A17A9">
        <w:rPr>
          <w:szCs w:val="22"/>
          <w:lang w:val="en-AU" w:eastAsia="en-GB"/>
        </w:rPr>
        <w:t xml:space="preserve"> supported by all submitters</w:t>
      </w:r>
      <w:r w:rsidR="009B1FDA">
        <w:rPr>
          <w:szCs w:val="22"/>
          <w:lang w:val="en-AU" w:eastAsia="en-GB"/>
        </w:rPr>
        <w:t xml:space="preserve"> and no issues were raised</w:t>
      </w:r>
      <w:r w:rsidR="00EE5767" w:rsidRPr="008A17A9">
        <w:rPr>
          <w:szCs w:val="22"/>
          <w:lang w:val="en-AU" w:eastAsia="en-GB"/>
        </w:rPr>
        <w:t>.</w:t>
      </w:r>
    </w:p>
    <w:p w14:paraId="09476C20" w14:textId="77777777" w:rsidR="00EE5767" w:rsidRPr="008A17A9" w:rsidRDefault="00EE5767" w:rsidP="00EE5767">
      <w:pPr>
        <w:pStyle w:val="FSTableTitle"/>
        <w:rPr>
          <w:b w:val="0"/>
          <w:szCs w:val="22"/>
          <w:lang w:val="en-AU" w:eastAsia="en-GB"/>
        </w:rPr>
      </w:pPr>
    </w:p>
    <w:p w14:paraId="140BC6B8" w14:textId="267B8097" w:rsidR="00EE5767" w:rsidRDefault="00B54243" w:rsidP="00B54243">
      <w:pPr>
        <w:pStyle w:val="FSTableTitle"/>
        <w:rPr>
          <w:b w:val="0"/>
          <w:szCs w:val="22"/>
          <w:lang w:val="en-AU" w:eastAsia="en-GB"/>
        </w:rPr>
      </w:pPr>
      <w:r>
        <w:rPr>
          <w:b w:val="0"/>
          <w:szCs w:val="22"/>
          <w:lang w:val="en-AU" w:eastAsia="en-GB"/>
        </w:rPr>
        <w:t xml:space="preserve">Submitters noted that the agarose ion exchange resin has been evaluated for safety for the intended purpose and approved for use in other countries. </w:t>
      </w:r>
      <w:r w:rsidRPr="00B54243">
        <w:rPr>
          <w:b w:val="0"/>
          <w:szCs w:val="22"/>
          <w:lang w:val="en-AU" w:eastAsia="en-GB"/>
        </w:rPr>
        <w:t xml:space="preserve">Approval for its use in Australia </w:t>
      </w:r>
      <w:r w:rsidR="00AD6341">
        <w:rPr>
          <w:b w:val="0"/>
          <w:szCs w:val="22"/>
          <w:lang w:val="en-AU" w:eastAsia="en-GB"/>
        </w:rPr>
        <w:t xml:space="preserve">and New Zealand </w:t>
      </w:r>
      <w:r>
        <w:rPr>
          <w:b w:val="0"/>
          <w:szCs w:val="22"/>
          <w:lang w:val="en-AU" w:eastAsia="en-GB"/>
        </w:rPr>
        <w:t>would</w:t>
      </w:r>
      <w:r w:rsidRPr="00B54243">
        <w:rPr>
          <w:b w:val="0"/>
          <w:szCs w:val="22"/>
          <w:lang w:val="en-AU" w:eastAsia="en-GB"/>
        </w:rPr>
        <w:t xml:space="preserve"> further </w:t>
      </w:r>
      <w:r w:rsidR="00AD6341">
        <w:rPr>
          <w:b w:val="0"/>
          <w:szCs w:val="22"/>
          <w:lang w:val="en-AU" w:eastAsia="en-GB"/>
        </w:rPr>
        <w:t xml:space="preserve">develop </w:t>
      </w:r>
      <w:r w:rsidRPr="00B54243">
        <w:rPr>
          <w:b w:val="0"/>
          <w:szCs w:val="22"/>
          <w:lang w:val="en-AU" w:eastAsia="en-GB"/>
        </w:rPr>
        <w:t xml:space="preserve">commercial opportunities for the Australian </w:t>
      </w:r>
      <w:r w:rsidR="00AD6341">
        <w:rPr>
          <w:b w:val="0"/>
          <w:szCs w:val="22"/>
          <w:lang w:val="en-AU" w:eastAsia="en-GB"/>
        </w:rPr>
        <w:t xml:space="preserve">and New Zealand </w:t>
      </w:r>
      <w:r w:rsidRPr="00B54243">
        <w:rPr>
          <w:b w:val="0"/>
          <w:szCs w:val="22"/>
          <w:lang w:val="en-AU" w:eastAsia="en-GB"/>
        </w:rPr>
        <w:t>dairy sector.</w:t>
      </w:r>
      <w:r>
        <w:rPr>
          <w:b w:val="0"/>
          <w:szCs w:val="22"/>
          <w:lang w:val="en-AU" w:eastAsia="en-GB"/>
        </w:rPr>
        <w:t xml:space="preserve"> </w:t>
      </w:r>
      <w:r w:rsidR="00EE5767" w:rsidRPr="008A17A9">
        <w:rPr>
          <w:b w:val="0"/>
          <w:szCs w:val="22"/>
          <w:lang w:val="en-AU" w:eastAsia="en-GB"/>
        </w:rPr>
        <w:t xml:space="preserve">Submitters were satisfied that the use of the </w:t>
      </w:r>
      <w:r>
        <w:rPr>
          <w:b w:val="0"/>
          <w:szCs w:val="22"/>
          <w:lang w:val="en-AU" w:eastAsia="en-GB"/>
        </w:rPr>
        <w:t xml:space="preserve">agarose ion exchange resin </w:t>
      </w:r>
      <w:r w:rsidR="00EE5767" w:rsidRPr="008A17A9">
        <w:rPr>
          <w:b w:val="0"/>
          <w:szCs w:val="22"/>
          <w:lang w:val="en-AU" w:eastAsia="en-GB"/>
        </w:rPr>
        <w:t xml:space="preserve">is technologically justified and </w:t>
      </w:r>
      <w:r>
        <w:rPr>
          <w:b w:val="0"/>
          <w:szCs w:val="22"/>
          <w:lang w:val="en-AU" w:eastAsia="en-GB"/>
        </w:rPr>
        <w:t xml:space="preserve">presents no public health and safety concerns. </w:t>
      </w:r>
    </w:p>
    <w:p w14:paraId="355235B3" w14:textId="77777777" w:rsidR="002C1A3B" w:rsidRPr="00932F14" w:rsidRDefault="002C1A3B" w:rsidP="002C1A3B">
      <w:pPr>
        <w:pStyle w:val="Heading2"/>
      </w:pPr>
      <w:bookmarkStart w:id="44" w:name="_Toc370223472"/>
      <w:bookmarkStart w:id="45" w:name="_Toc370225387"/>
      <w:bookmarkStart w:id="46" w:name="_Toc447716511"/>
      <w:bookmarkStart w:id="47" w:name="_Toc309291812"/>
      <w:bookmarkStart w:id="48" w:name="_Toc175381442"/>
      <w:r>
        <w:t>2.2</w:t>
      </w:r>
      <w:r>
        <w:tab/>
      </w:r>
      <w:r w:rsidRPr="00932F14">
        <w:t xml:space="preserve">Risk </w:t>
      </w:r>
      <w:r>
        <w:t>a</w:t>
      </w:r>
      <w:r w:rsidRPr="00932F14">
        <w:t>ssessment</w:t>
      </w:r>
      <w:bookmarkEnd w:id="44"/>
      <w:bookmarkEnd w:id="45"/>
      <w:bookmarkEnd w:id="46"/>
      <w:r w:rsidRPr="00932F14">
        <w:t xml:space="preserve"> </w:t>
      </w:r>
    </w:p>
    <w:p w14:paraId="19FDD614" w14:textId="1A0351E2" w:rsidR="00F40962" w:rsidRDefault="00F40962" w:rsidP="00F40962">
      <w:bookmarkStart w:id="49" w:name="_Toc370223473"/>
      <w:bookmarkStart w:id="50" w:name="_Toc370225388"/>
      <w:bookmarkStart w:id="51" w:name="_Toc175381450"/>
      <w:bookmarkEnd w:id="47"/>
      <w:bookmarkEnd w:id="48"/>
      <w:r>
        <w:t xml:space="preserve">FSANZ’s risk assessment concluded that </w:t>
      </w:r>
      <w:r w:rsidRPr="00972D39">
        <w:t xml:space="preserve">the </w:t>
      </w:r>
      <w:r>
        <w:t xml:space="preserve">proposed </w:t>
      </w:r>
      <w:r w:rsidRPr="00972D39">
        <w:t xml:space="preserve">use of </w:t>
      </w:r>
      <w:r>
        <w:t xml:space="preserve">the agarose ion exchange resin as a processing aid for lactoferrin production </w:t>
      </w:r>
      <w:r w:rsidRPr="00972D39">
        <w:t>presents no public health and safety</w:t>
      </w:r>
      <w:r>
        <w:t xml:space="preserve"> concerns.</w:t>
      </w:r>
    </w:p>
    <w:p w14:paraId="41D8498D" w14:textId="77777777" w:rsidR="00F40962" w:rsidRDefault="00F40962" w:rsidP="00F40962"/>
    <w:p w14:paraId="218A8682" w14:textId="77777777" w:rsidR="00F40962" w:rsidRDefault="00F40962" w:rsidP="00F40962">
      <w:r>
        <w:t>For each lactoferrin isolation cycle, the resin is subjected to cleaning/rinsing procedures that result in negligible impurity levels in the resin. This minimises the potential for resin impurities to be present in the isolated lactoferrin and in the flow-through milk/whey stream.</w:t>
      </w:r>
      <w:r w:rsidRPr="00342445">
        <w:t xml:space="preserve"> </w:t>
      </w:r>
    </w:p>
    <w:p w14:paraId="53B67C08" w14:textId="77777777" w:rsidR="00F40962" w:rsidRDefault="00F40962" w:rsidP="00F40962"/>
    <w:p w14:paraId="4D7BA57E" w14:textId="1AC12D5A" w:rsidR="00F40962" w:rsidRDefault="00F40962" w:rsidP="00F40962">
      <w:r w:rsidRPr="00342445">
        <w:t>Theoretical estimates of dietary exposure to resin impurities, calculated using conservative assumptions</w:t>
      </w:r>
      <w:r>
        <w:t xml:space="preserve">, provided confirmation that potential impurity levels are of no toxicological concern. </w:t>
      </w:r>
    </w:p>
    <w:p w14:paraId="1B88A5F2" w14:textId="77777777" w:rsidR="00F40962" w:rsidRDefault="00F40962" w:rsidP="00F40962">
      <w:r w:rsidDel="00616AE5">
        <w:t xml:space="preserve"> </w:t>
      </w:r>
    </w:p>
    <w:p w14:paraId="734F0D5F" w14:textId="4AA92F33" w:rsidR="00F40962" w:rsidRDefault="00F40962" w:rsidP="00F40962">
      <w:r w:rsidRPr="00C55D74">
        <w:t>The evidence presented to support the proposed uses provide</w:t>
      </w:r>
      <w:r>
        <w:t>d</w:t>
      </w:r>
      <w:r w:rsidRPr="00C55D74">
        <w:t xml:space="preserve"> adequate assurance that the </w:t>
      </w:r>
      <w:r>
        <w:t>resin</w:t>
      </w:r>
      <w:r w:rsidRPr="00C55D74">
        <w:t xml:space="preserve">, in </w:t>
      </w:r>
      <w:r>
        <w:t xml:space="preserve">its prescribed </w:t>
      </w:r>
      <w:r w:rsidRPr="00C55D74">
        <w:t>form and</w:t>
      </w:r>
      <w:r>
        <w:t xml:space="preserve"> usage</w:t>
      </w:r>
      <w:r w:rsidR="003F104B">
        <w:t xml:space="preserve">, </w:t>
      </w:r>
      <w:r>
        <w:t>was</w:t>
      </w:r>
      <w:r w:rsidRPr="00C55D74">
        <w:t xml:space="preserve"> technologically justified and </w:t>
      </w:r>
      <w:r>
        <w:t>was</w:t>
      </w:r>
      <w:r w:rsidRPr="00C55D74">
        <w:t xml:space="preserve"> demonstrated to be effective in achieving its stated purpose. </w:t>
      </w:r>
    </w:p>
    <w:p w14:paraId="3AC0E7EE" w14:textId="77777777" w:rsidR="00F40962" w:rsidRPr="00C00058" w:rsidRDefault="00F40962" w:rsidP="00F40962"/>
    <w:p w14:paraId="158E5707" w14:textId="000A3261" w:rsidR="00F40962" w:rsidRPr="00C00058" w:rsidRDefault="00F40962" w:rsidP="00F40962">
      <w:pPr>
        <w:keepNext/>
        <w:widowControl/>
      </w:pPr>
      <w:r>
        <w:t xml:space="preserve">For further details on the risk assessment, refer to the </w:t>
      </w:r>
      <w:r w:rsidRPr="000862C4">
        <w:t xml:space="preserve">Risk and </w:t>
      </w:r>
      <w:r>
        <w:t>T</w:t>
      </w:r>
      <w:r w:rsidRPr="000862C4">
        <w:t xml:space="preserve">echnical </w:t>
      </w:r>
      <w:r>
        <w:t>A</w:t>
      </w:r>
      <w:r w:rsidRPr="000862C4">
        <w:t xml:space="preserve">ssessment </w:t>
      </w:r>
      <w:r>
        <w:t>R</w:t>
      </w:r>
      <w:r w:rsidRPr="000862C4">
        <w:t xml:space="preserve">eport </w:t>
      </w:r>
      <w:r>
        <w:t>(SD1)</w:t>
      </w:r>
      <w:r w:rsidR="00780263">
        <w:t>, which remains unchanged from the call for submission</w:t>
      </w:r>
      <w:r w:rsidR="00780263" w:rsidRPr="00C00058">
        <w:t>s</w:t>
      </w:r>
      <w:r w:rsidRPr="00C00058">
        <w:t>.</w:t>
      </w:r>
    </w:p>
    <w:p w14:paraId="75E8EE06" w14:textId="77777777" w:rsidR="002C1A3B" w:rsidRPr="00932F14" w:rsidRDefault="002C1A3B" w:rsidP="002C1A3B">
      <w:pPr>
        <w:pStyle w:val="Heading2"/>
      </w:pPr>
      <w:bookmarkStart w:id="52" w:name="_Toc447716512"/>
      <w:r>
        <w:t>2.3</w:t>
      </w:r>
      <w:r>
        <w:tab/>
        <w:t>Risk management</w:t>
      </w:r>
      <w:bookmarkEnd w:id="49"/>
      <w:bookmarkEnd w:id="50"/>
      <w:bookmarkEnd w:id="52"/>
    </w:p>
    <w:p w14:paraId="447124BD" w14:textId="700BF183" w:rsidR="003F104B" w:rsidRDefault="003F104B" w:rsidP="003F104B">
      <w:bookmarkStart w:id="53" w:name="_Toc309291814"/>
      <w:bookmarkStart w:id="54" w:name="_Toc370225389"/>
      <w:bookmarkStart w:id="55" w:name="_Toc286391012"/>
      <w:bookmarkEnd w:id="51"/>
      <w:r w:rsidRPr="0044606A">
        <w:t>The risk assessment conclusions provide</w:t>
      </w:r>
      <w:r>
        <w:t>d</w:t>
      </w:r>
      <w:r w:rsidRPr="0044606A">
        <w:t xml:space="preserve"> evidence that there </w:t>
      </w:r>
      <w:r>
        <w:t>were</w:t>
      </w:r>
      <w:r w:rsidRPr="0044606A">
        <w:t xml:space="preserve"> no safety risks from the use of </w:t>
      </w:r>
      <w:r>
        <w:t>the agarose ion exchange resin as a processing aid. As</w:t>
      </w:r>
      <w:r w:rsidRPr="0044606A">
        <w:t xml:space="preserve"> processing aids require permissions in the Code, the </w:t>
      </w:r>
      <w:r>
        <w:t>only</w:t>
      </w:r>
      <w:r w:rsidRPr="0044606A">
        <w:t xml:space="preserve"> risk management option</w:t>
      </w:r>
      <w:r>
        <w:t>s</w:t>
      </w:r>
      <w:r w:rsidRPr="0044606A">
        <w:t xml:space="preserve"> available to FSANZ </w:t>
      </w:r>
      <w:r>
        <w:t xml:space="preserve">were to </w:t>
      </w:r>
      <w:r w:rsidRPr="0044606A">
        <w:t xml:space="preserve">approve or reject the </w:t>
      </w:r>
      <w:r w:rsidR="00780263">
        <w:t xml:space="preserve">draft variation </w:t>
      </w:r>
      <w:r w:rsidR="00243C7C">
        <w:t>to the</w:t>
      </w:r>
      <w:r w:rsidRPr="0044606A">
        <w:t xml:space="preserve"> Code. </w:t>
      </w:r>
    </w:p>
    <w:p w14:paraId="439B40E0" w14:textId="77777777" w:rsidR="003F104B" w:rsidRDefault="003F104B" w:rsidP="003F104B"/>
    <w:p w14:paraId="36149F87" w14:textId="4BC1E178" w:rsidR="00C00058" w:rsidRDefault="003F104B" w:rsidP="003F104B">
      <w:r>
        <w:t>Additionally, as discussed below, the risk management evaluation considered international standards, p</w:t>
      </w:r>
      <w:r w:rsidRPr="003F104B">
        <w:t>ermissions for processing aids</w:t>
      </w:r>
      <w:r>
        <w:t xml:space="preserve"> – which </w:t>
      </w:r>
      <w:r w:rsidRPr="003F104B">
        <w:t xml:space="preserve">are linked to their specification for identity and purity, </w:t>
      </w:r>
      <w:r>
        <w:t>the applicability of the labelling provisions in the Code, and an analysis of benefits and costs.</w:t>
      </w:r>
      <w:r w:rsidR="00C00058">
        <w:br w:type="page"/>
      </w:r>
    </w:p>
    <w:p w14:paraId="623A13A6" w14:textId="77777777" w:rsidR="003F104B" w:rsidRPr="003246F7" w:rsidRDefault="003F104B" w:rsidP="003F104B">
      <w:pPr>
        <w:pStyle w:val="Heading3"/>
      </w:pPr>
      <w:bookmarkStart w:id="56" w:name="_Toc392138895"/>
      <w:bookmarkStart w:id="57" w:name="_Toc402946760"/>
      <w:bookmarkStart w:id="58" w:name="_Toc404936793"/>
      <w:bookmarkStart w:id="59" w:name="_Toc438728874"/>
      <w:bookmarkStart w:id="60" w:name="_Toc446332226"/>
      <w:bookmarkStart w:id="61" w:name="_Toc447716513"/>
      <w:r>
        <w:lastRenderedPageBreak/>
        <w:t>2.3.1</w:t>
      </w:r>
      <w:r>
        <w:tab/>
        <w:t>International s</w:t>
      </w:r>
      <w:r w:rsidRPr="003246F7">
        <w:t>tandards</w:t>
      </w:r>
      <w:bookmarkEnd w:id="56"/>
      <w:bookmarkEnd w:id="57"/>
      <w:bookmarkEnd w:id="58"/>
      <w:bookmarkEnd w:id="59"/>
      <w:bookmarkEnd w:id="60"/>
      <w:bookmarkEnd w:id="61"/>
    </w:p>
    <w:p w14:paraId="7FFC8834" w14:textId="66043A12" w:rsidR="003F104B" w:rsidRDefault="003F104B" w:rsidP="003F104B">
      <w:bookmarkStart w:id="62" w:name="_Toc422314551"/>
      <w:bookmarkStart w:id="63" w:name="_Toc438728881"/>
      <w:bookmarkStart w:id="64" w:name="_Toc446332228"/>
      <w:r w:rsidRPr="003246F7">
        <w:t xml:space="preserve">Codex Alimentarius </w:t>
      </w:r>
      <w:r>
        <w:t xml:space="preserve">(Codex) </w:t>
      </w:r>
      <w:r w:rsidRPr="003246F7">
        <w:t xml:space="preserve">does not </w:t>
      </w:r>
      <w:r>
        <w:t>have</w:t>
      </w:r>
      <w:r w:rsidRPr="003246F7">
        <w:t xml:space="preserve"> </w:t>
      </w:r>
      <w:r>
        <w:t>Standards for processing aids</w:t>
      </w:r>
      <w:r w:rsidRPr="003246F7">
        <w:t>.</w:t>
      </w:r>
      <w:r>
        <w:t xml:space="preserve"> However, the agarose ion exchange resin conform</w:t>
      </w:r>
      <w:r w:rsidR="00AA14BB">
        <w:t>s</w:t>
      </w:r>
      <w:r>
        <w:t xml:space="preserve"> to the definition of food processing aids as described in the </w:t>
      </w:r>
      <w:r w:rsidRPr="008E75FC">
        <w:rPr>
          <w:i/>
        </w:rPr>
        <w:t xml:space="preserve">Procedural </w:t>
      </w:r>
      <w:r>
        <w:rPr>
          <w:i/>
        </w:rPr>
        <w:t>M</w:t>
      </w:r>
      <w:r w:rsidRPr="008E75FC">
        <w:rPr>
          <w:i/>
        </w:rPr>
        <w:t>anual of the Codex Alimentarius Commission</w:t>
      </w:r>
      <w:r>
        <w:t xml:space="preserve"> (24</w:t>
      </w:r>
      <w:r w:rsidRPr="007E2E8B">
        <w:rPr>
          <w:vertAlign w:val="superscript"/>
        </w:rPr>
        <w:t>th</w:t>
      </w:r>
      <w:r>
        <w:t xml:space="preserve"> edition, 2015) and the </w:t>
      </w:r>
      <w:r w:rsidRPr="008E75FC">
        <w:rPr>
          <w:i/>
        </w:rPr>
        <w:t>Guidelines on Substances used as Processin</w:t>
      </w:r>
      <w:r>
        <w:rPr>
          <w:i/>
        </w:rPr>
        <w:t xml:space="preserve">g Aids </w:t>
      </w:r>
      <w:r>
        <w:t>(</w:t>
      </w:r>
      <w:r w:rsidRPr="004D0E03">
        <w:t>CAC/GL 75-2010</w:t>
      </w:r>
      <w:r>
        <w:t>).</w:t>
      </w:r>
    </w:p>
    <w:p w14:paraId="16023CD6" w14:textId="77777777" w:rsidR="003F104B" w:rsidRDefault="003F104B" w:rsidP="003F104B"/>
    <w:p w14:paraId="6EE4A0A7" w14:textId="77777777" w:rsidR="003F104B" w:rsidRDefault="003F104B" w:rsidP="003F104B">
      <w:r>
        <w:t xml:space="preserve">There is no process in place whereby this processing aid can be specifically approved in the EU. </w:t>
      </w:r>
      <w:r w:rsidRPr="00447B12">
        <w:t>However, it meets the requirements as given in Regulation (</w:t>
      </w:r>
      <w:r w:rsidRPr="00C6290E">
        <w:t>EC) No. 1935/2004</w:t>
      </w:r>
      <w:r>
        <w:t xml:space="preserve"> on materials and articles intended to come into contact with food</w:t>
      </w:r>
      <w:r w:rsidRPr="00447B12">
        <w:t xml:space="preserve">. </w:t>
      </w:r>
    </w:p>
    <w:p w14:paraId="53F40860" w14:textId="77777777" w:rsidR="003F104B" w:rsidRDefault="003F104B" w:rsidP="003F104B"/>
    <w:p w14:paraId="5B030774" w14:textId="77777777" w:rsidR="00E37A80" w:rsidRDefault="003F104B" w:rsidP="003F104B">
      <w:r>
        <w:t xml:space="preserve">The agarose ion exchange </w:t>
      </w:r>
      <w:r w:rsidRPr="00447B12">
        <w:t xml:space="preserve">resin has been approved as a food contact substance by the </w:t>
      </w:r>
      <w:r>
        <w:t>US</w:t>
      </w:r>
      <w:r w:rsidRPr="00447B12">
        <w:t xml:space="preserve">FDA (FCN 000443) effective 29 </w:t>
      </w:r>
      <w:r w:rsidR="001D732C">
        <w:t>September</w:t>
      </w:r>
      <w:r w:rsidR="001D732C" w:rsidRPr="00447B12">
        <w:t xml:space="preserve"> </w:t>
      </w:r>
      <w:r w:rsidRPr="00447B12">
        <w:t>2004</w:t>
      </w:r>
      <w:r w:rsidR="001D732C">
        <w:t xml:space="preserve">. It is approved for intended use as </w:t>
      </w:r>
    </w:p>
    <w:p w14:paraId="77C9B36D" w14:textId="1E41CB07" w:rsidR="003F104B" w:rsidRDefault="001D732C" w:rsidP="003F104B">
      <w:r>
        <w:t>‘an ion exchange resin’ and for ‘</w:t>
      </w:r>
      <w:r w:rsidRPr="00447B12">
        <w:t>repeated use in extracting individual proteins or substances present in similar low concentrations from liquid, water-based food materials, such as milk, whey, fruit juice, beer and wine</w:t>
      </w:r>
      <w:r w:rsidR="00583AAB">
        <w:t xml:space="preserve">’ </w:t>
      </w:r>
      <w:r w:rsidR="003F104B">
        <w:t xml:space="preserve">(US FDA 2004). In addition, </w:t>
      </w:r>
      <w:r w:rsidR="003F104B" w:rsidRPr="00447B12">
        <w:t xml:space="preserve">GRAS Notices were published for the manufacturing process for lactoferrin using </w:t>
      </w:r>
      <w:r w:rsidR="003F104B">
        <w:t xml:space="preserve">the </w:t>
      </w:r>
      <w:r w:rsidR="003F104B" w:rsidRPr="00447B12">
        <w:t xml:space="preserve">resin in 2014 </w:t>
      </w:r>
      <w:r w:rsidR="003F104B" w:rsidRPr="00BD48DF">
        <w:t>(GRAS GRN Nos. 464, 465)</w:t>
      </w:r>
      <w:r w:rsidR="003F104B">
        <w:t xml:space="preserve"> (US FDA, 2014a; US FDA 2014b)</w:t>
      </w:r>
      <w:r w:rsidR="003F104B" w:rsidRPr="00BD48DF">
        <w:t>.</w:t>
      </w:r>
    </w:p>
    <w:p w14:paraId="0FF55C94" w14:textId="77777777" w:rsidR="003F104B" w:rsidRDefault="003F104B" w:rsidP="003F104B"/>
    <w:p w14:paraId="52ED5688" w14:textId="77777777" w:rsidR="003F104B" w:rsidRDefault="003F104B" w:rsidP="003F104B">
      <w:r w:rsidRPr="00447B12">
        <w:t>The Application contain</w:t>
      </w:r>
      <w:r>
        <w:t>ed</w:t>
      </w:r>
      <w:r w:rsidRPr="00447B12">
        <w:t xml:space="preserve"> copies of the </w:t>
      </w:r>
      <w:r>
        <w:t>relevant approvals and associated documents.</w:t>
      </w:r>
    </w:p>
    <w:p w14:paraId="4007510D" w14:textId="0F9D44E5" w:rsidR="006F2698" w:rsidRDefault="006F2698" w:rsidP="006F2698">
      <w:pPr>
        <w:pStyle w:val="Heading3"/>
      </w:pPr>
      <w:bookmarkStart w:id="65" w:name="_Toc442949556"/>
      <w:bookmarkStart w:id="66" w:name="_Toc447716514"/>
      <w:r>
        <w:t>2.3.2</w:t>
      </w:r>
      <w:r>
        <w:tab/>
        <w:t>Permissions for agarose ion exchange resin</w:t>
      </w:r>
      <w:bookmarkEnd w:id="65"/>
      <w:bookmarkEnd w:id="66"/>
    </w:p>
    <w:p w14:paraId="73BD4433" w14:textId="09922BE3" w:rsidR="006F2698" w:rsidRDefault="006F2698" w:rsidP="006F2698">
      <w:r>
        <w:t>The agarose ion exchange resin for lactoferrin production will be included in the t</w:t>
      </w:r>
      <w:r w:rsidRPr="00CE398B">
        <w:t xml:space="preserve">able to </w:t>
      </w:r>
      <w:r>
        <w:t>subsection</w:t>
      </w:r>
      <w:r w:rsidRPr="00CE398B">
        <w:t xml:space="preserve"> S18—9(3</w:t>
      </w:r>
      <w:r>
        <w:t>).</w:t>
      </w:r>
    </w:p>
    <w:p w14:paraId="3EEE489F" w14:textId="77777777" w:rsidR="006F2698" w:rsidRDefault="006F2698" w:rsidP="006F2698"/>
    <w:p w14:paraId="52691C1B" w14:textId="18A6A822" w:rsidR="006F2698" w:rsidRDefault="006F2698" w:rsidP="006F2698">
      <w:r>
        <w:t xml:space="preserve">Schedule 18 </w:t>
      </w:r>
      <w:r w:rsidRPr="00836A3E">
        <w:t xml:space="preserve">already permits the use of an agarose ion exchange resin for the removal of specific proteins and polyphenols from beer. </w:t>
      </w:r>
      <w:r w:rsidR="00F42C35">
        <w:t>However, t</w:t>
      </w:r>
      <w:r w:rsidR="00F42C35" w:rsidRPr="00836A3E">
        <w:t xml:space="preserve">he </w:t>
      </w:r>
      <w:r>
        <w:t>two</w:t>
      </w:r>
      <w:r w:rsidRPr="00836A3E">
        <w:t xml:space="preserve"> resin</w:t>
      </w:r>
      <w:r>
        <w:t xml:space="preserve">s differ in that the one </w:t>
      </w:r>
      <w:r w:rsidR="00C64D21">
        <w:t xml:space="preserve">permitted for beer production </w:t>
      </w:r>
      <w:r w:rsidR="00C64D21" w:rsidRPr="00836A3E">
        <w:t>is derivatised with tertiary amine groups</w:t>
      </w:r>
      <w:r w:rsidR="00C64D21">
        <w:t xml:space="preserve">, whilst the other </w:t>
      </w:r>
      <w:r>
        <w:t>intended for lactoferrin production is derivatised with sulphonate</w:t>
      </w:r>
      <w:r w:rsidRPr="00836A3E">
        <w:t xml:space="preserve"> groups</w:t>
      </w:r>
      <w:r>
        <w:t xml:space="preserve">. To clearly differentiate between the two resins in Schedule 18, they </w:t>
      </w:r>
      <w:r w:rsidR="00A25C1D">
        <w:t>are</w:t>
      </w:r>
      <w:r>
        <w:t xml:space="preserve"> </w:t>
      </w:r>
      <w:r w:rsidR="002672E8">
        <w:t xml:space="preserve">to be </w:t>
      </w:r>
      <w:r>
        <w:t xml:space="preserve">listed </w:t>
      </w:r>
      <w:r w:rsidR="00C64D21" w:rsidRPr="00C64D21">
        <w:t xml:space="preserve">in the table to subsection S18—9(3) </w:t>
      </w:r>
      <w:r w:rsidR="00C64D21">
        <w:t>(</w:t>
      </w:r>
      <w:r w:rsidR="00C64D21" w:rsidRPr="00C64D21">
        <w:t>in alphabetical order</w:t>
      </w:r>
      <w:r w:rsidR="00C64D21">
        <w:t>)</w:t>
      </w:r>
      <w:r w:rsidR="00C64D21" w:rsidRPr="00C64D21">
        <w:t xml:space="preserve"> </w:t>
      </w:r>
      <w:r>
        <w:t>as a</w:t>
      </w:r>
      <w:r w:rsidR="00C64D21">
        <w:t xml:space="preserve">n </w:t>
      </w:r>
      <w:r w:rsidR="00C64D21">
        <w:rPr>
          <w:i/>
        </w:rPr>
        <w:t>amine</w:t>
      </w:r>
      <w:r>
        <w:t xml:space="preserve"> agarose ion exchange resin and a</w:t>
      </w:r>
      <w:r w:rsidR="00C64D21">
        <w:t xml:space="preserve"> </w:t>
      </w:r>
      <w:r w:rsidR="00C64D21">
        <w:rPr>
          <w:i/>
        </w:rPr>
        <w:t>sulphonate</w:t>
      </w:r>
      <w:r>
        <w:rPr>
          <w:i/>
        </w:rPr>
        <w:t xml:space="preserve"> </w:t>
      </w:r>
      <w:r>
        <w:t>agarose ion exchange resin, respectively.</w:t>
      </w:r>
    </w:p>
    <w:p w14:paraId="6BB2D450" w14:textId="69848675" w:rsidR="00C64D21" w:rsidRDefault="00C64D21" w:rsidP="006F2698"/>
    <w:p w14:paraId="6EC91311" w14:textId="1C835A1F" w:rsidR="00C64D21" w:rsidRDefault="00C64D21" w:rsidP="00C64D21">
      <w:pPr>
        <w:ind w:right="-286"/>
      </w:pPr>
      <w:r>
        <w:t xml:space="preserve">Schedule 18 also includes a </w:t>
      </w:r>
      <w:r w:rsidRPr="00CE398B">
        <w:t xml:space="preserve">definition for agarose ion exchange resin </w:t>
      </w:r>
      <w:r>
        <w:t>(subsection</w:t>
      </w:r>
      <w:r w:rsidRPr="00CE398B">
        <w:t xml:space="preserve"> S18—9(2</w:t>
      </w:r>
      <w:r>
        <w:t>)</w:t>
      </w:r>
      <w:r w:rsidRPr="00CE398B">
        <w:t>)</w:t>
      </w:r>
      <w:r>
        <w:t>. This definition will be replaced with two separate definitions</w:t>
      </w:r>
      <w:r w:rsidR="00B75DC9">
        <w:t xml:space="preserve"> (in alphabetical order)</w:t>
      </w:r>
      <w:r>
        <w:t xml:space="preserve">: one for the amine resin, the other for the </w:t>
      </w:r>
      <w:r w:rsidR="00B75DC9">
        <w:t>sulphonate</w:t>
      </w:r>
      <w:r>
        <w:t xml:space="preserve"> resin.</w:t>
      </w:r>
    </w:p>
    <w:p w14:paraId="2631AB31" w14:textId="60F7C5CD" w:rsidR="006F2698" w:rsidRDefault="006F2698" w:rsidP="006F2698">
      <w:pPr>
        <w:pStyle w:val="Heading3"/>
      </w:pPr>
      <w:bookmarkStart w:id="67" w:name="_Toc442949557"/>
      <w:bookmarkStart w:id="68" w:name="_Toc447716515"/>
      <w:r>
        <w:t>2.3.3</w:t>
      </w:r>
      <w:r>
        <w:tab/>
        <w:t>Specification</w:t>
      </w:r>
      <w:bookmarkEnd w:id="67"/>
      <w:bookmarkEnd w:id="68"/>
    </w:p>
    <w:p w14:paraId="5A813F7B" w14:textId="296BE924" w:rsidR="006F2698" w:rsidRDefault="006F2698" w:rsidP="006F2698">
      <w:r>
        <w:t xml:space="preserve">Permissions for processing aids are linked to their specification for identity and purity, provided in Schedule 3 of the Code. An individual </w:t>
      </w:r>
      <w:r w:rsidRPr="00CE398B">
        <w:t xml:space="preserve">specification </w:t>
      </w:r>
      <w:r w:rsidR="00A25C1D">
        <w:t>is</w:t>
      </w:r>
      <w:r w:rsidRPr="00CE398B">
        <w:t xml:space="preserve"> </w:t>
      </w:r>
      <w:r w:rsidR="002672E8">
        <w:t xml:space="preserve">to be </w:t>
      </w:r>
      <w:r>
        <w:t xml:space="preserve">included in </w:t>
      </w:r>
      <w:r w:rsidRPr="00CE398B">
        <w:t>Schedule 3</w:t>
      </w:r>
      <w:r>
        <w:t xml:space="preserve"> for the </w:t>
      </w:r>
      <w:r>
        <w:rPr>
          <w:i/>
        </w:rPr>
        <w:t>sulphonate</w:t>
      </w:r>
      <w:r>
        <w:t xml:space="preserve"> </w:t>
      </w:r>
      <w:r w:rsidRPr="00CE398B">
        <w:t>agarose ion exchange resin</w:t>
      </w:r>
      <w:r>
        <w:t>. This is in addition to the existing specification</w:t>
      </w:r>
      <w:r w:rsidR="002672E8">
        <w:t xml:space="preserve">, which will be clearly identified as an </w:t>
      </w:r>
      <w:r>
        <w:rPr>
          <w:i/>
        </w:rPr>
        <w:t xml:space="preserve">amine </w:t>
      </w:r>
      <w:r>
        <w:t>agarose ion exchange resin, referenced in subsection</w:t>
      </w:r>
      <w:r w:rsidRPr="00CE398B">
        <w:t xml:space="preserve"> S3—6</w:t>
      </w:r>
      <w:r>
        <w:t>.</w:t>
      </w:r>
    </w:p>
    <w:p w14:paraId="25C12CEB" w14:textId="7E50E62D" w:rsidR="003F104B" w:rsidRDefault="003F104B" w:rsidP="003F104B">
      <w:pPr>
        <w:pStyle w:val="Heading3"/>
      </w:pPr>
      <w:bookmarkStart w:id="69" w:name="_Toc447716516"/>
      <w:r w:rsidRPr="00C70B37">
        <w:t>2.</w:t>
      </w:r>
      <w:r>
        <w:t>3</w:t>
      </w:r>
      <w:r w:rsidRPr="00C70B37">
        <w:t>.</w:t>
      </w:r>
      <w:r w:rsidR="006F2698">
        <w:t>4</w:t>
      </w:r>
      <w:r w:rsidRPr="00C70B37">
        <w:tab/>
        <w:t>Labelling considerations</w:t>
      </w:r>
      <w:bookmarkEnd w:id="62"/>
      <w:bookmarkEnd w:id="63"/>
      <w:bookmarkEnd w:id="64"/>
      <w:bookmarkEnd w:id="69"/>
    </w:p>
    <w:p w14:paraId="7BA9CCFE" w14:textId="3DC1A029" w:rsidR="00C00058" w:rsidRDefault="003F104B" w:rsidP="003F104B">
      <w:r w:rsidRPr="00C2661F">
        <w:t xml:space="preserve">As a general rule, processing aids are exempt from the requirement to be declared in the statement of ingredients in accordance with paragraphs 1.2.4—3(2)(d) and (e) </w:t>
      </w:r>
      <w:r>
        <w:t>in Standard 1.2.4</w:t>
      </w:r>
      <w:r w:rsidRPr="00C2661F">
        <w:t xml:space="preserve">. Therefore, the use of the agarose ion exchange resin as a processing aid </w:t>
      </w:r>
      <w:r>
        <w:rPr>
          <w:rFonts w:cs="Arial"/>
          <w:color w:val="000000" w:themeColor="text1"/>
        </w:rPr>
        <w:t>for lactoferrin</w:t>
      </w:r>
      <w:r>
        <w:rPr>
          <w:rFonts w:cs="Arial"/>
          <w:i/>
          <w:color w:val="000000" w:themeColor="text1"/>
        </w:rPr>
        <w:t xml:space="preserve"> </w:t>
      </w:r>
      <w:r w:rsidR="00AB6CC5">
        <w:rPr>
          <w:rFonts w:cs="Arial"/>
          <w:color w:val="000000" w:themeColor="text1"/>
        </w:rPr>
        <w:t xml:space="preserve">production </w:t>
      </w:r>
      <w:r w:rsidRPr="00C2661F">
        <w:t xml:space="preserve">would not </w:t>
      </w:r>
      <w:r w:rsidR="00A20015">
        <w:t xml:space="preserve">have to </w:t>
      </w:r>
      <w:r w:rsidRPr="00C2661F">
        <w:t>be declared on the label of the food.</w:t>
      </w:r>
      <w:r w:rsidR="00C00058">
        <w:br w:type="page"/>
      </w:r>
    </w:p>
    <w:p w14:paraId="262B2B3A" w14:textId="2D4EDC14" w:rsidR="003F104B" w:rsidRPr="00C70B37" w:rsidRDefault="003F104B" w:rsidP="003F104B">
      <w:pPr>
        <w:pStyle w:val="Heading3"/>
      </w:pPr>
      <w:bookmarkStart w:id="70" w:name="_Toc446332229"/>
      <w:bookmarkStart w:id="71" w:name="_Toc447716517"/>
      <w:r w:rsidRPr="00C70B37">
        <w:lastRenderedPageBreak/>
        <w:t>2.</w:t>
      </w:r>
      <w:r>
        <w:t>3</w:t>
      </w:r>
      <w:r w:rsidRPr="00C70B37">
        <w:t>.</w:t>
      </w:r>
      <w:r w:rsidR="006F2698">
        <w:t>5</w:t>
      </w:r>
      <w:r w:rsidRPr="00C70B37">
        <w:tab/>
      </w:r>
      <w:r>
        <w:t>Cost benefit analysis</w:t>
      </w:r>
      <w:bookmarkEnd w:id="70"/>
      <w:bookmarkEnd w:id="71"/>
    </w:p>
    <w:p w14:paraId="204F03D7" w14:textId="77777777" w:rsidR="00583AAB" w:rsidRDefault="003F104B" w:rsidP="00C00058">
      <w:r>
        <w:t xml:space="preserve">FSANZ undertook a basic cost benefit analysis for this Application and </w:t>
      </w:r>
      <w:r w:rsidRPr="00E375BE">
        <w:t xml:space="preserve">concluded that permitting the use of </w:t>
      </w:r>
      <w:r w:rsidR="006F2698">
        <w:t>the agarose ion exchange resin</w:t>
      </w:r>
      <w:r>
        <w:t xml:space="preserve"> </w:t>
      </w:r>
      <w:r w:rsidRPr="00E375BE">
        <w:t xml:space="preserve">as a food processing aid </w:t>
      </w:r>
      <w:r w:rsidR="006F2698">
        <w:t xml:space="preserve">for lactoferrin production </w:t>
      </w:r>
      <w:r w:rsidRPr="00E375BE">
        <w:t xml:space="preserve">had benefits to the food industry, </w:t>
      </w:r>
      <w:r w:rsidR="002672E8">
        <w:t>especially</w:t>
      </w:r>
      <w:r w:rsidR="005737C3">
        <w:t xml:space="preserve"> the dairy industry.</w:t>
      </w:r>
      <w:r>
        <w:t xml:space="preserve"> </w:t>
      </w:r>
      <w:r w:rsidR="003A43AA">
        <w:t>In particular, approval of this processing aid would provide t</w:t>
      </w:r>
      <w:r w:rsidR="005737C3">
        <w:t>he dairy industry with the opportunity to recover lactoferrin from low value dairy streams for supply to</w:t>
      </w:r>
      <w:r w:rsidR="00A25C1D">
        <w:t>,</w:t>
      </w:r>
      <w:r w:rsidR="005737C3">
        <w:t xml:space="preserve"> and use in</w:t>
      </w:r>
      <w:r w:rsidR="00A25C1D">
        <w:t>,</w:t>
      </w:r>
      <w:r w:rsidR="005737C3">
        <w:t xml:space="preserve"> domestic and international markets. The cost to the industry to use the processing aid (noting that use is entirely voluntary) would be offset by the value of lactoferrin as a premium ingredient.</w:t>
      </w:r>
    </w:p>
    <w:p w14:paraId="2ECD25B0" w14:textId="77777777" w:rsidR="00C00058" w:rsidRDefault="00C00058" w:rsidP="00C00058"/>
    <w:p w14:paraId="3347F238" w14:textId="12530847" w:rsidR="00B75DC9" w:rsidRDefault="003A43AA" w:rsidP="00C00058">
      <w:r>
        <w:t>In addition, a</w:t>
      </w:r>
      <w:r w:rsidR="005737C3">
        <w:t xml:space="preserve">pproval of </w:t>
      </w:r>
      <w:r>
        <w:t xml:space="preserve">the </w:t>
      </w:r>
      <w:r w:rsidR="005737C3">
        <w:t>processing aid would provide the dairy industry in Australia and New Zealand with the opportunity for innovation in the development of value-added new products and ingredients for both the domestic and export markets</w:t>
      </w:r>
      <w:r>
        <w:t>.</w:t>
      </w:r>
    </w:p>
    <w:p w14:paraId="04830EA7" w14:textId="77777777" w:rsidR="00B75DC9" w:rsidRDefault="00B75DC9" w:rsidP="00974661">
      <w:pPr>
        <w:rPr>
          <w:rFonts w:cs="Arial"/>
          <w:szCs w:val="20"/>
        </w:rPr>
      </w:pPr>
    </w:p>
    <w:p w14:paraId="4DFA4202" w14:textId="46FCF85D" w:rsidR="00B75DC9" w:rsidRDefault="00B75DC9" w:rsidP="00974661">
      <w:pPr>
        <w:rPr>
          <w:rFonts w:cs="Arial"/>
          <w:szCs w:val="20"/>
        </w:rPr>
      </w:pPr>
      <w:r>
        <w:rPr>
          <w:rFonts w:cs="Arial"/>
          <w:szCs w:val="20"/>
        </w:rPr>
        <w:t xml:space="preserve">Consumers </w:t>
      </w:r>
      <w:r w:rsidR="000175EC">
        <w:rPr>
          <w:rFonts w:cs="Arial"/>
          <w:szCs w:val="20"/>
        </w:rPr>
        <w:t xml:space="preserve">might </w:t>
      </w:r>
      <w:r>
        <w:rPr>
          <w:rFonts w:cs="Arial"/>
          <w:szCs w:val="20"/>
        </w:rPr>
        <w:t xml:space="preserve">also benefit from the approval of this processing aid, </w:t>
      </w:r>
      <w:r w:rsidR="000175EC">
        <w:rPr>
          <w:rFonts w:cs="Arial"/>
          <w:szCs w:val="20"/>
        </w:rPr>
        <w:t xml:space="preserve">through a possible increase in the </w:t>
      </w:r>
      <w:r>
        <w:rPr>
          <w:rFonts w:cs="Arial"/>
          <w:szCs w:val="20"/>
        </w:rPr>
        <w:t xml:space="preserve">availability of this high value bioactive ingredient in </w:t>
      </w:r>
      <w:r w:rsidR="000175EC">
        <w:rPr>
          <w:rFonts w:cs="Arial"/>
          <w:szCs w:val="20"/>
        </w:rPr>
        <w:t xml:space="preserve">various </w:t>
      </w:r>
      <w:r>
        <w:rPr>
          <w:rFonts w:cs="Arial"/>
          <w:szCs w:val="20"/>
        </w:rPr>
        <w:t>food products, in particular, dairy-based special purpose type foods.</w:t>
      </w:r>
    </w:p>
    <w:p w14:paraId="7D31F5B5" w14:textId="49B5B9C0" w:rsidR="003A43AA" w:rsidRDefault="003A43AA" w:rsidP="005737C3">
      <w:pPr>
        <w:rPr>
          <w:rFonts w:cs="Arial"/>
          <w:szCs w:val="20"/>
        </w:rPr>
      </w:pPr>
    </w:p>
    <w:p w14:paraId="61260771" w14:textId="10BB31BB" w:rsidR="003F104B" w:rsidRPr="00E375BE" w:rsidRDefault="003A43AA" w:rsidP="005737C3">
      <w:pPr>
        <w:rPr>
          <w:rFonts w:cs="Arial"/>
        </w:rPr>
      </w:pPr>
      <w:r>
        <w:rPr>
          <w:rFonts w:cs="Arial"/>
        </w:rPr>
        <w:t xml:space="preserve">No </w:t>
      </w:r>
      <w:r w:rsidR="003F104B" w:rsidRPr="00E375BE">
        <w:rPr>
          <w:rFonts w:cs="Arial"/>
        </w:rPr>
        <w:t xml:space="preserve">costs to </w:t>
      </w:r>
      <w:r>
        <w:rPr>
          <w:rFonts w:cs="Arial"/>
        </w:rPr>
        <w:t xml:space="preserve">consumers, Governments or other </w:t>
      </w:r>
      <w:r w:rsidR="003F104B" w:rsidRPr="00E375BE">
        <w:rPr>
          <w:rFonts w:cs="Arial"/>
        </w:rPr>
        <w:t xml:space="preserve">stakeholders </w:t>
      </w:r>
      <w:r>
        <w:rPr>
          <w:rFonts w:cs="Arial"/>
        </w:rPr>
        <w:t xml:space="preserve">were identified </w:t>
      </w:r>
      <w:r w:rsidR="003F104B" w:rsidRPr="00E375BE">
        <w:rPr>
          <w:rFonts w:cs="Arial"/>
        </w:rPr>
        <w:t xml:space="preserve">that </w:t>
      </w:r>
      <w:r>
        <w:rPr>
          <w:rFonts w:cs="Arial"/>
        </w:rPr>
        <w:t xml:space="preserve">would override </w:t>
      </w:r>
      <w:r w:rsidR="003F104B" w:rsidRPr="00E375BE">
        <w:rPr>
          <w:rFonts w:cs="Arial"/>
        </w:rPr>
        <w:t>these benefits. There were no benefits in rejecting the Application.</w:t>
      </w:r>
    </w:p>
    <w:p w14:paraId="0AF85CCF" w14:textId="77777777" w:rsidR="003F104B" w:rsidRPr="00E375BE" w:rsidRDefault="003F104B" w:rsidP="003F104B">
      <w:pPr>
        <w:rPr>
          <w:rFonts w:cs="Arial"/>
        </w:rPr>
      </w:pPr>
    </w:p>
    <w:p w14:paraId="750D341B" w14:textId="7DB09F41" w:rsidR="003F104B" w:rsidRDefault="003A43AA" w:rsidP="003F104B">
      <w:pPr>
        <w:rPr>
          <w:rFonts w:cs="Arial"/>
        </w:rPr>
      </w:pPr>
      <w:r>
        <w:rPr>
          <w:rFonts w:cs="Arial"/>
        </w:rPr>
        <w:t xml:space="preserve">Therefore, </w:t>
      </w:r>
      <w:r w:rsidR="003F104B" w:rsidRPr="00E375BE">
        <w:rPr>
          <w:rFonts w:cs="Arial"/>
        </w:rPr>
        <w:t xml:space="preserve">FSANZ concluded that the direct and indirect benefits that would arise from a food regulatory measure developed or varied as a result of the Application outweighed the costs to the community, Government </w:t>
      </w:r>
      <w:r w:rsidR="003F104B">
        <w:rPr>
          <w:rFonts w:cs="Arial"/>
        </w:rPr>
        <w:t>and</w:t>
      </w:r>
      <w:r w:rsidR="003F104B" w:rsidRPr="00E375BE">
        <w:rPr>
          <w:rFonts w:cs="Arial"/>
        </w:rPr>
        <w:t xml:space="preserve"> industry that would arise from the development or variation of </w:t>
      </w:r>
      <w:r w:rsidR="003F104B">
        <w:rPr>
          <w:rFonts w:cs="Arial"/>
        </w:rPr>
        <w:t xml:space="preserve">such a </w:t>
      </w:r>
      <w:r w:rsidR="003F104B" w:rsidRPr="00E375BE">
        <w:rPr>
          <w:rFonts w:cs="Arial"/>
        </w:rPr>
        <w:t xml:space="preserve">food regulatory measure. </w:t>
      </w:r>
    </w:p>
    <w:p w14:paraId="1694F7E2" w14:textId="70CB8AF5" w:rsidR="003F104B" w:rsidRDefault="003F104B" w:rsidP="003F104B">
      <w:pPr>
        <w:pStyle w:val="Heading3"/>
        <w:rPr>
          <w:rFonts w:cs="Arial"/>
        </w:rPr>
      </w:pPr>
      <w:bookmarkStart w:id="72" w:name="_Toc446332230"/>
      <w:bookmarkStart w:id="73" w:name="_Toc447716518"/>
      <w:r w:rsidRPr="00C70B37">
        <w:t>2.</w:t>
      </w:r>
      <w:r>
        <w:t>3</w:t>
      </w:r>
      <w:r w:rsidRPr="00C70B37">
        <w:t>.</w:t>
      </w:r>
      <w:r w:rsidR="003A43AA">
        <w:t>6</w:t>
      </w:r>
      <w:r w:rsidRPr="00C70B37">
        <w:tab/>
      </w:r>
      <w:r>
        <w:t>Risk management conclusion</w:t>
      </w:r>
      <w:bookmarkEnd w:id="72"/>
      <w:bookmarkEnd w:id="73"/>
    </w:p>
    <w:p w14:paraId="658E7BED" w14:textId="39A8F769" w:rsidR="003A43AA" w:rsidRPr="00C2661F" w:rsidRDefault="003A43AA" w:rsidP="003A43AA">
      <w:r>
        <w:t xml:space="preserve">The proposed use of the agarose ion exchange resin as a processing aid for lactoferrin production, in its prescribed form and usage, is technologically justified. The </w:t>
      </w:r>
      <w:r w:rsidRPr="005319AC">
        <w:t xml:space="preserve">risk assessment conclusions </w:t>
      </w:r>
      <w:r>
        <w:t xml:space="preserve">indicated that there were no public health and </w:t>
      </w:r>
      <w:r w:rsidRPr="005319AC">
        <w:t xml:space="preserve">safety </w:t>
      </w:r>
      <w:r>
        <w:t>concerns</w:t>
      </w:r>
      <w:r w:rsidRPr="005319AC">
        <w:t xml:space="preserve"> </w:t>
      </w:r>
      <w:r>
        <w:t xml:space="preserve">associated with its use. The resin has already been assessed as safe and permitted for use in other major jurisdictions. The basic cost benefit analysis indicated that the benefits accrued from permitting the use of the processing aid would outweigh any costs. Based on this information, the preferred risk management option was to </w:t>
      </w:r>
      <w:r w:rsidR="00780263">
        <w:t xml:space="preserve">approve </w:t>
      </w:r>
      <w:r w:rsidR="005253F0">
        <w:t xml:space="preserve">a </w:t>
      </w:r>
      <w:r>
        <w:t>draft variation to Schedule</w:t>
      </w:r>
      <w:r w:rsidR="00780263">
        <w:t>s</w:t>
      </w:r>
      <w:r>
        <w:t xml:space="preserve"> 18 and 3.</w:t>
      </w:r>
    </w:p>
    <w:p w14:paraId="6215A4BF" w14:textId="77777777" w:rsidR="003F104B" w:rsidRDefault="003F104B" w:rsidP="003F104B">
      <w:pPr>
        <w:pStyle w:val="Heading1"/>
      </w:pPr>
      <w:bookmarkStart w:id="74" w:name="_Toc446332231"/>
      <w:bookmarkStart w:id="75" w:name="_Toc447716519"/>
      <w:r>
        <w:t>3</w:t>
      </w:r>
      <w:r>
        <w:tab/>
      </w:r>
      <w:r w:rsidRPr="00932F14">
        <w:t>Decision</w:t>
      </w:r>
      <w:bookmarkEnd w:id="74"/>
      <w:bookmarkEnd w:id="75"/>
    </w:p>
    <w:p w14:paraId="50F4D77A" w14:textId="0C58BA86" w:rsidR="00677214" w:rsidRDefault="00677214" w:rsidP="00677214">
      <w:r>
        <w:t xml:space="preserve">The FSANZ Board has approved a draft variation (as proposed at </w:t>
      </w:r>
      <w:r w:rsidR="002672E8">
        <w:t>the c</w:t>
      </w:r>
      <w:r>
        <w:t xml:space="preserve">all for </w:t>
      </w:r>
      <w:r w:rsidR="002672E8">
        <w:t>s</w:t>
      </w:r>
      <w:r>
        <w:t>ubmissions) to the t</w:t>
      </w:r>
      <w:r w:rsidRPr="00CE398B">
        <w:t xml:space="preserve">able to </w:t>
      </w:r>
      <w:r>
        <w:t>subsection</w:t>
      </w:r>
      <w:r w:rsidRPr="00CE398B">
        <w:t xml:space="preserve"> S18—9(3</w:t>
      </w:r>
      <w:r>
        <w:t xml:space="preserve">) to permit the use of the agarose ion exchange resin as a processing aid for lactoferrin production.  </w:t>
      </w:r>
    </w:p>
    <w:p w14:paraId="5BFB4D0B" w14:textId="77777777" w:rsidR="00677214" w:rsidRPr="00CE398B" w:rsidRDefault="00677214" w:rsidP="00677214"/>
    <w:p w14:paraId="52C78426" w14:textId="77777777" w:rsidR="00677214" w:rsidRDefault="00677214" w:rsidP="00677214">
      <w:r>
        <w:t xml:space="preserve">All permitted processing aids are also required to have a </w:t>
      </w:r>
      <w:r w:rsidRPr="00CE398B">
        <w:t xml:space="preserve">specification </w:t>
      </w:r>
      <w:r>
        <w:t>for identity and purity in Schedule 3. The FSANZ Board has approved</w:t>
      </w:r>
      <w:r w:rsidRPr="00CE398B">
        <w:t xml:space="preserve"> a new specification </w:t>
      </w:r>
      <w:r>
        <w:t>for the agarose ion exchange resin for inclusion</w:t>
      </w:r>
      <w:r w:rsidRPr="00CE398B">
        <w:t xml:space="preserve"> in </w:t>
      </w:r>
      <w:r>
        <w:t xml:space="preserve">this </w:t>
      </w:r>
      <w:r w:rsidRPr="00CE398B">
        <w:t>Schedule</w:t>
      </w:r>
      <w:r>
        <w:t>.</w:t>
      </w:r>
    </w:p>
    <w:p w14:paraId="1BC487EC" w14:textId="77777777" w:rsidR="00677214" w:rsidRDefault="00677214" w:rsidP="003F104B"/>
    <w:p w14:paraId="735E28F2" w14:textId="512E1830" w:rsidR="003F104B" w:rsidRDefault="003F104B" w:rsidP="003F104B">
      <w:r>
        <w:t xml:space="preserve">The draft variation </w:t>
      </w:r>
      <w:r w:rsidR="005253F0">
        <w:t>was</w:t>
      </w:r>
      <w:r>
        <w:t xml:space="preserve"> approved without change </w:t>
      </w:r>
      <w:r w:rsidR="00E12E93">
        <w:t xml:space="preserve">following assessment </w:t>
      </w:r>
      <w:r>
        <w:t xml:space="preserve">and </w:t>
      </w:r>
      <w:r w:rsidR="005253F0">
        <w:t>is</w:t>
      </w:r>
      <w:r>
        <w:t xml:space="preserve"> at Attachment A. </w:t>
      </w:r>
      <w:r w:rsidRPr="003A7725">
        <w:t xml:space="preserve">The </w:t>
      </w:r>
      <w:r>
        <w:t xml:space="preserve">variation takes effect on </w:t>
      </w:r>
      <w:r w:rsidR="00C00058">
        <w:t>g</w:t>
      </w:r>
      <w:r>
        <w:t>azettal.</w:t>
      </w:r>
      <w:r w:rsidRPr="007C22CB">
        <w:t xml:space="preserve"> </w:t>
      </w:r>
    </w:p>
    <w:p w14:paraId="7E55CBE3" w14:textId="77777777" w:rsidR="003F104B" w:rsidRDefault="003F104B" w:rsidP="003F104B"/>
    <w:p w14:paraId="08B7DE39" w14:textId="1640DF9C" w:rsidR="00C00058" w:rsidRDefault="003F104B" w:rsidP="003F104B">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r w:rsidR="00C00058">
        <w:br w:type="page"/>
      </w:r>
    </w:p>
    <w:p w14:paraId="1C66730B" w14:textId="3B1CF8E2" w:rsidR="002C1A3B" w:rsidRPr="008C301D" w:rsidRDefault="00AB6CC5" w:rsidP="00AB6CC5">
      <w:pPr>
        <w:pStyle w:val="Heading1"/>
      </w:pPr>
      <w:bookmarkStart w:id="76" w:name="_Toc447716520"/>
      <w:r>
        <w:lastRenderedPageBreak/>
        <w:t>4</w:t>
      </w:r>
      <w:r w:rsidR="002C1A3B" w:rsidRPr="008C301D">
        <w:tab/>
        <w:t>Risk communication</w:t>
      </w:r>
      <w:bookmarkEnd w:id="53"/>
      <w:bookmarkEnd w:id="54"/>
      <w:bookmarkEnd w:id="76"/>
      <w:r w:rsidR="002C1A3B" w:rsidRPr="008C301D">
        <w:t xml:space="preserve"> </w:t>
      </w:r>
    </w:p>
    <w:p w14:paraId="643AF6E6" w14:textId="3545F8B4" w:rsidR="00AB6CC5" w:rsidRPr="00932F14" w:rsidRDefault="00AB6CC5" w:rsidP="00AB6CC5">
      <w:pPr>
        <w:pStyle w:val="Heading2"/>
      </w:pPr>
      <w:bookmarkStart w:id="77" w:name="_Toc447716521"/>
      <w:r>
        <w:t>4.1</w:t>
      </w:r>
      <w:r>
        <w:tab/>
        <w:t>Consultation</w:t>
      </w:r>
      <w:bookmarkEnd w:id="77"/>
    </w:p>
    <w:p w14:paraId="34F92958" w14:textId="4701D599" w:rsidR="003A43AA" w:rsidRPr="00786BB7" w:rsidRDefault="003A43AA" w:rsidP="003A43AA">
      <w:pPr>
        <w:rPr>
          <w:szCs w:val="22"/>
        </w:rPr>
      </w:pPr>
      <w:r w:rsidRPr="00A670A7">
        <w:rPr>
          <w:szCs w:val="22"/>
        </w:rPr>
        <w:t xml:space="preserve">Consultation is a key part of FSANZ’s standards development process. </w:t>
      </w:r>
      <w:r w:rsidRPr="00786BB7">
        <w:rPr>
          <w:szCs w:val="22"/>
        </w:rPr>
        <w:t xml:space="preserve">FSANZ acknowledges the time taken by individuals and organisations to make submissions on this Application. </w:t>
      </w:r>
      <w:r w:rsidRPr="002C1A3B">
        <w:rPr>
          <w:szCs w:val="22"/>
        </w:rPr>
        <w:t>Every submission on</w:t>
      </w:r>
      <w:r>
        <w:rPr>
          <w:szCs w:val="22"/>
        </w:rPr>
        <w:t xml:space="preserve"> an application or proposal was considered</w:t>
      </w:r>
      <w:r w:rsidRPr="002C1A3B">
        <w:rPr>
          <w:szCs w:val="22"/>
        </w:rPr>
        <w:t xml:space="preserve"> by </w:t>
      </w:r>
      <w:r>
        <w:rPr>
          <w:szCs w:val="22"/>
        </w:rPr>
        <w:t xml:space="preserve">the </w:t>
      </w:r>
      <w:r w:rsidRPr="002C1A3B">
        <w:rPr>
          <w:szCs w:val="22"/>
        </w:rPr>
        <w:t xml:space="preserve">FSANZ </w:t>
      </w:r>
      <w:r>
        <w:rPr>
          <w:szCs w:val="22"/>
        </w:rPr>
        <w:t>Board</w:t>
      </w:r>
      <w:r w:rsidRPr="002C1A3B">
        <w:rPr>
          <w:szCs w:val="22"/>
        </w:rPr>
        <w:t xml:space="preserve">. </w:t>
      </w:r>
      <w:r>
        <w:rPr>
          <w:szCs w:val="22"/>
        </w:rPr>
        <w:t>A</w:t>
      </w:r>
      <w:r w:rsidRPr="002C1A3B">
        <w:rPr>
          <w:szCs w:val="22"/>
        </w:rPr>
        <w:t xml:space="preserve">ll comments are valued and contribute to the rigour of our assessment. </w:t>
      </w:r>
    </w:p>
    <w:p w14:paraId="55B3F1F4" w14:textId="77777777" w:rsidR="003A43AA" w:rsidRPr="00786BB7" w:rsidRDefault="003A43AA" w:rsidP="003A43AA">
      <w:pPr>
        <w:rPr>
          <w:szCs w:val="22"/>
        </w:rPr>
      </w:pPr>
    </w:p>
    <w:p w14:paraId="73560770" w14:textId="77777777" w:rsidR="003A43AA" w:rsidRPr="00786BB7" w:rsidRDefault="003A43AA" w:rsidP="003A43AA">
      <w:pPr>
        <w:rPr>
          <w:szCs w:val="22"/>
        </w:rPr>
      </w:pPr>
      <w:r w:rsidRPr="00786BB7">
        <w:rPr>
          <w:szCs w:val="22"/>
        </w:rPr>
        <w:t xml:space="preserve">FSANZ developed and applied a basic communication strategy to this Application. The call for submissions was notified via the FSANZ Notification Circular, media release, FSANZ’s social media tools and Food Standards News. </w:t>
      </w:r>
    </w:p>
    <w:p w14:paraId="46683FCF" w14:textId="77777777" w:rsidR="003A43AA" w:rsidRPr="00786BB7" w:rsidRDefault="003A43AA" w:rsidP="003A43AA">
      <w:pPr>
        <w:rPr>
          <w:szCs w:val="22"/>
        </w:rPr>
      </w:pPr>
    </w:p>
    <w:p w14:paraId="2864C63C" w14:textId="77777777" w:rsidR="003A43AA" w:rsidRPr="00786BB7" w:rsidRDefault="003A43AA" w:rsidP="003A43AA">
      <w:pPr>
        <w:rPr>
          <w:szCs w:val="22"/>
        </w:rPr>
      </w:pPr>
      <w:r w:rsidRPr="00786BB7">
        <w:rPr>
          <w:szCs w:val="22"/>
        </w:rPr>
        <w:t xml:space="preserve">The process by which FSANZ considers standard development matters is open, accountable, consultative and transparent. Public submissions were called to obtain the views of interested parties on issues raised by the Application and the impacts of regulatory options. </w:t>
      </w:r>
    </w:p>
    <w:p w14:paraId="3D15C410" w14:textId="77777777" w:rsidR="003A43AA" w:rsidRPr="00786BB7" w:rsidRDefault="003A43AA" w:rsidP="003A43AA">
      <w:pPr>
        <w:rPr>
          <w:szCs w:val="22"/>
        </w:rPr>
      </w:pPr>
    </w:p>
    <w:p w14:paraId="070F729B" w14:textId="12EAC821" w:rsidR="003A43AA" w:rsidRPr="00786BB7" w:rsidRDefault="003A43AA" w:rsidP="003A43AA">
      <w:pPr>
        <w:rPr>
          <w:szCs w:val="22"/>
        </w:rPr>
      </w:pPr>
      <w:r w:rsidRPr="00786BB7">
        <w:rPr>
          <w:szCs w:val="22"/>
        </w:rPr>
        <w:t xml:space="preserve">The FSANZ Board considered the draft variation taking into account comments received from the </w:t>
      </w:r>
      <w:r>
        <w:rPr>
          <w:szCs w:val="22"/>
        </w:rPr>
        <w:t>c</w:t>
      </w:r>
      <w:r w:rsidRPr="00786BB7">
        <w:rPr>
          <w:szCs w:val="22"/>
        </w:rPr>
        <w:t xml:space="preserve">all for </w:t>
      </w:r>
      <w:r>
        <w:rPr>
          <w:szCs w:val="22"/>
        </w:rPr>
        <w:t>s</w:t>
      </w:r>
      <w:r w:rsidRPr="00786BB7">
        <w:rPr>
          <w:szCs w:val="22"/>
        </w:rPr>
        <w:t>ubmissions.</w:t>
      </w:r>
    </w:p>
    <w:p w14:paraId="76AC6126" w14:textId="77777777" w:rsidR="003A43AA" w:rsidRPr="00786BB7" w:rsidRDefault="003A43AA" w:rsidP="003A43AA">
      <w:pPr>
        <w:rPr>
          <w:szCs w:val="22"/>
        </w:rPr>
      </w:pPr>
    </w:p>
    <w:p w14:paraId="4E17DB86" w14:textId="77777777" w:rsidR="003A43AA" w:rsidRPr="00786BB7" w:rsidRDefault="003A43AA" w:rsidP="003A43AA">
      <w:pPr>
        <w:rPr>
          <w:szCs w:val="22"/>
        </w:rPr>
      </w:pPr>
      <w:r w:rsidRPr="00786BB7">
        <w:rPr>
          <w:szCs w:val="22"/>
        </w:rPr>
        <w:t xml:space="preserve">The Applicant, individuals and organisations that made submissions on this Application </w:t>
      </w:r>
      <w:r>
        <w:rPr>
          <w:szCs w:val="22"/>
        </w:rPr>
        <w:t>were</w:t>
      </w:r>
      <w:r w:rsidRPr="00786BB7">
        <w:rPr>
          <w:szCs w:val="22"/>
        </w:rPr>
        <w:t xml:space="preserve"> notified at each stage of the assessment. Subscribers and interested parties </w:t>
      </w:r>
      <w:r>
        <w:rPr>
          <w:szCs w:val="22"/>
        </w:rPr>
        <w:t>were</w:t>
      </w:r>
      <w:r w:rsidRPr="00786BB7">
        <w:rPr>
          <w:szCs w:val="22"/>
        </w:rPr>
        <w:t xml:space="preserve"> also notified via email about the availability of reports for public comment. </w:t>
      </w:r>
    </w:p>
    <w:p w14:paraId="044D931A" w14:textId="77777777" w:rsidR="003A43AA" w:rsidRPr="00786BB7" w:rsidRDefault="003A43AA" w:rsidP="003A43AA">
      <w:pPr>
        <w:rPr>
          <w:szCs w:val="22"/>
        </w:rPr>
      </w:pPr>
    </w:p>
    <w:p w14:paraId="2F1103BE" w14:textId="540C4958" w:rsidR="003A43AA" w:rsidRDefault="003A43AA" w:rsidP="003A43AA">
      <w:pPr>
        <w:rPr>
          <w:szCs w:val="22"/>
        </w:rPr>
      </w:pPr>
      <w:r w:rsidRPr="00786BB7">
        <w:rPr>
          <w:szCs w:val="22"/>
        </w:rPr>
        <w:t>The FSANZ Board’s decision has been notified to the Australia and New Zealand Ministerial Forum on Food Regulation. If the decision is not subject to a request for a review by Ministers, the Applicant and stakeholders will be notified of the gazettal of the variation to the Code in the national press and on the FSANZ website.</w:t>
      </w:r>
    </w:p>
    <w:p w14:paraId="65746589" w14:textId="50CE6C97" w:rsidR="002C1A3B" w:rsidRPr="002C1A3B" w:rsidRDefault="00AB6CC5" w:rsidP="00AB6CC5">
      <w:pPr>
        <w:pStyle w:val="Heading1"/>
      </w:pPr>
      <w:bookmarkStart w:id="78" w:name="_Toc370223477"/>
      <w:bookmarkStart w:id="79" w:name="_Toc370225392"/>
      <w:bookmarkStart w:id="80" w:name="_Toc447716522"/>
      <w:bookmarkStart w:id="81" w:name="_Toc309291816"/>
      <w:bookmarkStart w:id="82" w:name="_Toc300933448"/>
      <w:bookmarkStart w:id="83" w:name="_Toc300933577"/>
      <w:bookmarkStart w:id="84" w:name="_Toc301535601"/>
      <w:bookmarkStart w:id="85" w:name="_Toc309385464"/>
      <w:bookmarkStart w:id="86" w:name="_Toc175381456"/>
      <w:bookmarkEnd w:id="36"/>
      <w:bookmarkEnd w:id="37"/>
      <w:bookmarkEnd w:id="38"/>
      <w:bookmarkEnd w:id="39"/>
      <w:bookmarkEnd w:id="40"/>
      <w:bookmarkEnd w:id="41"/>
      <w:bookmarkEnd w:id="55"/>
      <w:r>
        <w:t>5</w:t>
      </w:r>
      <w:r w:rsidR="002C1A3B" w:rsidRPr="002C1A3B">
        <w:tab/>
        <w:t>FSANZ Act assessment requirements</w:t>
      </w:r>
      <w:bookmarkEnd w:id="78"/>
      <w:bookmarkEnd w:id="79"/>
      <w:bookmarkEnd w:id="80"/>
    </w:p>
    <w:p w14:paraId="0A8D31CB" w14:textId="77777777" w:rsidR="00AB6CC5" w:rsidRPr="002C1A3B" w:rsidRDefault="00AB6CC5" w:rsidP="00AB6CC5">
      <w:pPr>
        <w:pStyle w:val="Heading2"/>
      </w:pPr>
      <w:bookmarkStart w:id="87" w:name="_Toc370223478"/>
      <w:bookmarkStart w:id="88" w:name="_Toc370225393"/>
      <w:bookmarkStart w:id="89" w:name="_Toc446332235"/>
      <w:bookmarkStart w:id="90" w:name="_Toc447716523"/>
      <w:bookmarkStart w:id="91" w:name="_Toc11735643"/>
      <w:bookmarkStart w:id="92" w:name="_Toc29883130"/>
      <w:bookmarkStart w:id="93" w:name="_Toc41906817"/>
      <w:bookmarkStart w:id="94" w:name="_Toc41907564"/>
      <w:bookmarkStart w:id="95" w:name="_Toc43112360"/>
      <w:bookmarkEnd w:id="81"/>
      <w:bookmarkEnd w:id="82"/>
      <w:bookmarkEnd w:id="83"/>
      <w:bookmarkEnd w:id="84"/>
      <w:bookmarkEnd w:id="85"/>
      <w:bookmarkEnd w:id="86"/>
      <w:r>
        <w:t>5.</w:t>
      </w:r>
      <w:r w:rsidRPr="002C1A3B">
        <w:t>1</w:t>
      </w:r>
      <w:r w:rsidRPr="002C1A3B">
        <w:tab/>
        <w:t xml:space="preserve">Section </w:t>
      </w:r>
      <w:bookmarkEnd w:id="87"/>
      <w:bookmarkEnd w:id="88"/>
      <w:r>
        <w:t>29</w:t>
      </w:r>
      <w:bookmarkEnd w:id="89"/>
      <w:bookmarkEnd w:id="90"/>
    </w:p>
    <w:p w14:paraId="65BBE39A" w14:textId="77777777" w:rsidR="00AB6CC5" w:rsidRPr="002C1A3B" w:rsidRDefault="00AB6CC5" w:rsidP="00AB6CC5">
      <w:pPr>
        <w:pStyle w:val="Heading3"/>
      </w:pPr>
      <w:bookmarkStart w:id="96" w:name="_Toc447716524"/>
      <w:r>
        <w:t>5</w:t>
      </w:r>
      <w:r w:rsidRPr="002C1A3B">
        <w:t>.1.1</w:t>
      </w:r>
      <w:r w:rsidRPr="002C1A3B">
        <w:tab/>
        <w:t>Cost benefit analysis</w:t>
      </w:r>
      <w:bookmarkEnd w:id="96"/>
    </w:p>
    <w:p w14:paraId="74178740" w14:textId="552E6EEC" w:rsidR="00AB6CC5" w:rsidRPr="0071143C" w:rsidRDefault="00AB6CC5" w:rsidP="00AB6CC5">
      <w:pPr>
        <w:rPr>
          <w:bCs/>
        </w:rPr>
      </w:pPr>
      <w:r w:rsidRPr="0071143C">
        <w:rPr>
          <w:bCs/>
        </w:rPr>
        <w:t>The Office of Best Practice Regulation, in a letter dated 24 November 2010 (reference 12065), provided a standing exemption from the need to assess if a Regulation Impact Statement is required for Applications relating to processing aids as they are machinery in nature and their use is voluntary</w:t>
      </w:r>
      <w:r>
        <w:rPr>
          <w:bCs/>
        </w:rPr>
        <w:t>.</w:t>
      </w:r>
      <w:r w:rsidRPr="004B372E">
        <w:rPr>
          <w:bCs/>
        </w:rPr>
        <w:t xml:space="preserve"> </w:t>
      </w:r>
      <w:r w:rsidR="005856D1">
        <w:rPr>
          <w:bCs/>
        </w:rPr>
        <w:t>Notwithstanding this</w:t>
      </w:r>
      <w:r>
        <w:rPr>
          <w:bCs/>
        </w:rPr>
        <w:t xml:space="preserve">, FSANZ conducted a basic cost </w:t>
      </w:r>
      <w:r w:rsidR="004D75A9">
        <w:rPr>
          <w:bCs/>
        </w:rPr>
        <w:t xml:space="preserve">benefit </w:t>
      </w:r>
      <w:r>
        <w:rPr>
          <w:bCs/>
        </w:rPr>
        <w:t>analysis, which is described in Section 2.3.5 above.</w:t>
      </w:r>
    </w:p>
    <w:p w14:paraId="45AC8934" w14:textId="77777777" w:rsidR="00AB6CC5" w:rsidRPr="002C1A3B" w:rsidRDefault="00AB6CC5" w:rsidP="00AB6CC5">
      <w:pPr>
        <w:pStyle w:val="Heading3"/>
      </w:pPr>
      <w:bookmarkStart w:id="97" w:name="_Toc447716525"/>
      <w:r>
        <w:t>5</w:t>
      </w:r>
      <w:r w:rsidRPr="002C1A3B">
        <w:t>.1.2</w:t>
      </w:r>
      <w:r w:rsidRPr="002C1A3B">
        <w:tab/>
        <w:t>Other measures</w:t>
      </w:r>
      <w:bookmarkEnd w:id="97"/>
    </w:p>
    <w:p w14:paraId="4C2A58CC" w14:textId="33693F05" w:rsidR="00AB6CC5" w:rsidRPr="002C1A3B" w:rsidRDefault="00AB6CC5" w:rsidP="00AB6CC5">
      <w:pPr>
        <w:rPr>
          <w:color w:val="FF0000"/>
        </w:rPr>
      </w:pPr>
      <w:r w:rsidRPr="002C1A3B">
        <w:t>There are no other measures (whether available to FSANZ or not) that would be more cost-effective than a food regulatory measure develop</w:t>
      </w:r>
      <w:r>
        <w:t>ed or varied as a result of the Application.</w:t>
      </w:r>
    </w:p>
    <w:p w14:paraId="0F9D7389" w14:textId="77777777" w:rsidR="00AB6CC5" w:rsidRPr="002C1A3B" w:rsidRDefault="00AB6CC5" w:rsidP="00AB6CC5">
      <w:pPr>
        <w:pStyle w:val="Heading3"/>
      </w:pPr>
      <w:bookmarkStart w:id="98" w:name="_Toc447716526"/>
      <w:r>
        <w:t>5</w:t>
      </w:r>
      <w:r w:rsidRPr="002C1A3B">
        <w:t>.1.3</w:t>
      </w:r>
      <w:r w:rsidRPr="002C1A3B">
        <w:tab/>
        <w:t>Any relevant New Zealand standards</w:t>
      </w:r>
      <w:bookmarkEnd w:id="98"/>
    </w:p>
    <w:p w14:paraId="2666180D" w14:textId="67F672AC" w:rsidR="00C00058" w:rsidRDefault="00AB6CC5" w:rsidP="00AB6CC5">
      <w:pPr>
        <w:rPr>
          <w:lang w:bidi="ar-SA"/>
        </w:rPr>
      </w:pPr>
      <w:r>
        <w:rPr>
          <w:lang w:bidi="ar-SA"/>
        </w:rPr>
        <w:t xml:space="preserve">Schedule 18 and Schedule 3 </w:t>
      </w:r>
      <w:r w:rsidR="00780263">
        <w:rPr>
          <w:lang w:bidi="ar-SA"/>
        </w:rPr>
        <w:t xml:space="preserve">apply </w:t>
      </w:r>
      <w:r>
        <w:rPr>
          <w:lang w:bidi="ar-SA"/>
        </w:rPr>
        <w:t>to New Zealand and there are no relevant New Zealand only Standards.</w:t>
      </w:r>
      <w:r w:rsidR="00C00058">
        <w:rPr>
          <w:lang w:bidi="ar-SA"/>
        </w:rPr>
        <w:br w:type="page"/>
      </w:r>
    </w:p>
    <w:p w14:paraId="35B576ED" w14:textId="77777777" w:rsidR="00AB6CC5" w:rsidRDefault="00AB6CC5" w:rsidP="00AB6CC5">
      <w:pPr>
        <w:pStyle w:val="Heading3"/>
      </w:pPr>
      <w:bookmarkStart w:id="99" w:name="_Toc447716527"/>
      <w:r>
        <w:lastRenderedPageBreak/>
        <w:t>5.</w:t>
      </w:r>
      <w:r w:rsidRPr="002C1A3B">
        <w:t>1.4</w:t>
      </w:r>
      <w:r w:rsidRPr="002C1A3B">
        <w:tab/>
        <w:t>Any other relevant matters</w:t>
      </w:r>
      <w:bookmarkEnd w:id="99"/>
    </w:p>
    <w:p w14:paraId="0DA03186" w14:textId="77777777" w:rsidR="00AB6CC5" w:rsidRPr="002C1A3B" w:rsidRDefault="00AB6CC5" w:rsidP="00AB6CC5">
      <w:pPr>
        <w:rPr>
          <w:lang w:bidi="ar-SA"/>
        </w:rPr>
      </w:pPr>
      <w:r>
        <w:rPr>
          <w:lang w:bidi="ar-SA"/>
        </w:rPr>
        <w:t>Other relevant matters are considered below</w:t>
      </w:r>
      <w:r w:rsidRPr="002C1A3B">
        <w:rPr>
          <w:lang w:bidi="ar-SA"/>
        </w:rPr>
        <w:t>.</w:t>
      </w:r>
    </w:p>
    <w:p w14:paraId="5598A9D6" w14:textId="77777777" w:rsidR="00AB6CC5" w:rsidRPr="002C1A3B" w:rsidRDefault="00AB6CC5" w:rsidP="00AB6CC5">
      <w:pPr>
        <w:pStyle w:val="Heading2"/>
      </w:pPr>
      <w:bookmarkStart w:id="100" w:name="_Toc370223479"/>
      <w:bookmarkStart w:id="101" w:name="_Toc370225394"/>
      <w:bookmarkStart w:id="102" w:name="_Toc446332236"/>
      <w:bookmarkStart w:id="103" w:name="_Toc447716528"/>
      <w:bookmarkStart w:id="104" w:name="_Toc300761897"/>
      <w:bookmarkStart w:id="105" w:name="_Toc300933440"/>
      <w:r>
        <w:t>5.2</w:t>
      </w:r>
      <w:r>
        <w:tab/>
      </w:r>
      <w:r w:rsidRPr="002C1A3B">
        <w:t>Subsection 18(1)</w:t>
      </w:r>
      <w:bookmarkEnd w:id="100"/>
      <w:bookmarkEnd w:id="101"/>
      <w:bookmarkEnd w:id="102"/>
      <w:bookmarkEnd w:id="103"/>
      <w:r w:rsidRPr="002C1A3B">
        <w:t xml:space="preserve"> </w:t>
      </w:r>
      <w:bookmarkEnd w:id="104"/>
      <w:bookmarkEnd w:id="105"/>
    </w:p>
    <w:p w14:paraId="5CB84D82" w14:textId="77777777" w:rsidR="00AB6CC5" w:rsidRPr="002C1A3B" w:rsidRDefault="00AB6CC5" w:rsidP="00AB6CC5">
      <w:r w:rsidRPr="002C1A3B">
        <w:rPr>
          <w:rFonts w:cs="Arial"/>
        </w:rPr>
        <w:t xml:space="preserve">FSANZ also </w:t>
      </w:r>
      <w:r w:rsidRPr="002C1A3B">
        <w:t>considered the three objectives in subsection 18(1) of the FSANZ Act during the assessment.</w:t>
      </w:r>
    </w:p>
    <w:p w14:paraId="25825B1B" w14:textId="77777777" w:rsidR="00AB6CC5" w:rsidRDefault="00AB6CC5" w:rsidP="00AB6CC5">
      <w:pPr>
        <w:pStyle w:val="Heading3"/>
      </w:pPr>
      <w:bookmarkStart w:id="106" w:name="_Toc297029117"/>
      <w:bookmarkStart w:id="107" w:name="_Toc300761898"/>
      <w:bookmarkStart w:id="108" w:name="_Toc300933441"/>
      <w:bookmarkStart w:id="109" w:name="_Toc447716529"/>
      <w:r>
        <w:t>5</w:t>
      </w:r>
      <w:r w:rsidRPr="002C1A3B">
        <w:t>.</w:t>
      </w:r>
      <w:r>
        <w:t>2.1</w:t>
      </w:r>
      <w:r w:rsidRPr="002C1A3B">
        <w:tab/>
        <w:t>Protection of public health and safety</w:t>
      </w:r>
      <w:bookmarkEnd w:id="106"/>
      <w:bookmarkEnd w:id="107"/>
      <w:bookmarkEnd w:id="108"/>
      <w:bookmarkEnd w:id="109"/>
    </w:p>
    <w:p w14:paraId="14EDDD59" w14:textId="139E7C1D" w:rsidR="00AB6CC5" w:rsidRPr="00154A4B" w:rsidRDefault="00AB6CC5" w:rsidP="00AB6CC5">
      <w:r>
        <w:t>FSANZ undertook a safety assessment (SD1) and concluded there were no public health and safety concerns relating to permitting the agarose ion exchange resin as a processing aid</w:t>
      </w:r>
      <w:r w:rsidR="003B03B6" w:rsidRPr="003B03B6">
        <w:rPr>
          <w:rFonts w:cs="Arial"/>
          <w:color w:val="000000" w:themeColor="text1"/>
        </w:rPr>
        <w:t xml:space="preserve"> </w:t>
      </w:r>
      <w:r w:rsidR="003B03B6">
        <w:rPr>
          <w:rFonts w:cs="Arial"/>
          <w:color w:val="000000" w:themeColor="text1"/>
        </w:rPr>
        <w:t>for the production of lactoferrin</w:t>
      </w:r>
      <w:r>
        <w:t xml:space="preserve">.  </w:t>
      </w:r>
    </w:p>
    <w:p w14:paraId="04515E33" w14:textId="77777777" w:rsidR="00AB6CC5" w:rsidRPr="002C1A3B" w:rsidRDefault="00AB6CC5" w:rsidP="00AB6CC5">
      <w:pPr>
        <w:pStyle w:val="Heading3"/>
      </w:pPr>
      <w:bookmarkStart w:id="110" w:name="_Toc300761899"/>
      <w:bookmarkStart w:id="111" w:name="_Toc300933442"/>
      <w:bookmarkStart w:id="112" w:name="_Toc447716530"/>
      <w:r>
        <w:t>5</w:t>
      </w:r>
      <w:r w:rsidRPr="002C1A3B">
        <w:t>.</w:t>
      </w:r>
      <w:r>
        <w:t>2.2</w:t>
      </w:r>
      <w:r w:rsidRPr="002C1A3B">
        <w:tab/>
        <w:t>The provision of adequate information relating to food to enable consumers to make informed choices</w:t>
      </w:r>
      <w:bookmarkEnd w:id="110"/>
      <w:bookmarkEnd w:id="111"/>
      <w:bookmarkEnd w:id="112"/>
    </w:p>
    <w:p w14:paraId="40978D37" w14:textId="740E781B" w:rsidR="00AB6CC5" w:rsidRDefault="00AB6CC5" w:rsidP="00AB6CC5">
      <w:pPr>
        <w:rPr>
          <w:color w:val="00B050"/>
        </w:rPr>
      </w:pPr>
      <w:bookmarkStart w:id="113" w:name="_Toc300761900"/>
      <w:bookmarkStart w:id="114" w:name="_Toc300933443"/>
      <w:r w:rsidRPr="00DF3D74">
        <w:t xml:space="preserve">The labelling </w:t>
      </w:r>
      <w:r>
        <w:t>approach for</w:t>
      </w:r>
      <w:r w:rsidRPr="00DF3D74">
        <w:t xml:space="preserve"> </w:t>
      </w:r>
      <w:r>
        <w:t xml:space="preserve">the </w:t>
      </w:r>
      <w:r w:rsidRPr="00DF3D74">
        <w:t xml:space="preserve">processing aid </w:t>
      </w:r>
      <w:r>
        <w:t xml:space="preserve">is </w:t>
      </w:r>
      <w:r w:rsidRPr="00DF3D74">
        <w:t>discussed in Section 2.</w:t>
      </w:r>
      <w:r>
        <w:t>3.4 above</w:t>
      </w:r>
      <w:r w:rsidRPr="00DF3D74">
        <w:t>.</w:t>
      </w:r>
      <w:r>
        <w:t xml:space="preserve"> The existing provisions in the Code are considered to be appropriate for the permitted use of the </w:t>
      </w:r>
      <w:r w:rsidR="00056B8E">
        <w:t>processing aid</w:t>
      </w:r>
      <w:r>
        <w:t>.</w:t>
      </w:r>
    </w:p>
    <w:p w14:paraId="111143C9" w14:textId="77777777" w:rsidR="00AB6CC5" w:rsidRPr="002C1A3B" w:rsidRDefault="00AB6CC5" w:rsidP="00056B8E">
      <w:pPr>
        <w:pStyle w:val="Heading3"/>
      </w:pPr>
      <w:bookmarkStart w:id="115" w:name="_Toc447716531"/>
      <w:r>
        <w:t>5.2.3</w:t>
      </w:r>
      <w:r w:rsidRPr="002C1A3B">
        <w:tab/>
        <w:t>The prevention of misleading or deceptive conduct</w:t>
      </w:r>
      <w:bookmarkEnd w:id="113"/>
      <w:bookmarkEnd w:id="114"/>
      <w:bookmarkEnd w:id="115"/>
    </w:p>
    <w:p w14:paraId="5E623076" w14:textId="77777777" w:rsidR="00AB6CC5" w:rsidRDefault="00AB6CC5" w:rsidP="00AB6CC5">
      <w:bookmarkStart w:id="116" w:name="_Toc300761901"/>
      <w:bookmarkStart w:id="117" w:name="_Toc300933444"/>
      <w:bookmarkStart w:id="118" w:name="_Toc370223480"/>
      <w:bookmarkStart w:id="119" w:name="_Toc370225395"/>
      <w:r w:rsidRPr="00DF3D74">
        <w:t xml:space="preserve">There </w:t>
      </w:r>
      <w:r>
        <w:t>were</w:t>
      </w:r>
      <w:r w:rsidRPr="00DF3D74">
        <w:t xml:space="preserve"> no issues identified with this Application relevant to this objective.</w:t>
      </w:r>
    </w:p>
    <w:p w14:paraId="77EA12C7" w14:textId="77777777" w:rsidR="00AB6CC5" w:rsidRPr="002C1A3B" w:rsidRDefault="00AB6CC5" w:rsidP="00056B8E">
      <w:pPr>
        <w:pStyle w:val="Heading2"/>
        <w:rPr>
          <w:lang w:eastAsia="en-AU"/>
        </w:rPr>
      </w:pPr>
      <w:bookmarkStart w:id="120" w:name="_Toc447716532"/>
      <w:r>
        <w:rPr>
          <w:lang w:eastAsia="en-AU"/>
        </w:rPr>
        <w:t>5</w:t>
      </w:r>
      <w:r w:rsidRPr="002C1A3B">
        <w:rPr>
          <w:lang w:eastAsia="en-AU"/>
        </w:rPr>
        <w:t>.3</w:t>
      </w:r>
      <w:r w:rsidRPr="002C1A3B">
        <w:rPr>
          <w:lang w:eastAsia="en-AU"/>
        </w:rPr>
        <w:tab/>
        <w:t xml:space="preserve">Subsection 18(2) </w:t>
      </w:r>
      <w:bookmarkEnd w:id="116"/>
      <w:bookmarkEnd w:id="117"/>
      <w:r w:rsidRPr="002C1A3B">
        <w:rPr>
          <w:lang w:eastAsia="en-AU"/>
        </w:rPr>
        <w:t>considerations</w:t>
      </w:r>
      <w:bookmarkEnd w:id="118"/>
      <w:bookmarkEnd w:id="119"/>
      <w:bookmarkEnd w:id="120"/>
    </w:p>
    <w:p w14:paraId="6CF885B2" w14:textId="3F1D0161" w:rsidR="00AB6CC5" w:rsidRDefault="00AB6CC5" w:rsidP="00056B8E">
      <w:pPr>
        <w:rPr>
          <w:rFonts w:cs="Arial"/>
        </w:rPr>
      </w:pPr>
      <w:r w:rsidRPr="002C1A3B">
        <w:rPr>
          <w:rFonts w:cs="Arial"/>
        </w:rPr>
        <w:t>FSANZ also had regard to:</w:t>
      </w:r>
    </w:p>
    <w:p w14:paraId="56CACB77" w14:textId="77777777" w:rsidR="00056B8E" w:rsidRDefault="00056B8E" w:rsidP="00056B8E">
      <w:pPr>
        <w:rPr>
          <w:b/>
        </w:rPr>
      </w:pPr>
    </w:p>
    <w:p w14:paraId="152DF1E1" w14:textId="77777777" w:rsidR="00AB6CC5" w:rsidRPr="002C1A3B" w:rsidRDefault="00AB6CC5" w:rsidP="00AB6CC5">
      <w:pPr>
        <w:pStyle w:val="FSBullet1"/>
        <w:rPr>
          <w:b/>
        </w:rPr>
      </w:pPr>
      <w:r w:rsidRPr="002C1A3B">
        <w:rPr>
          <w:b/>
        </w:rPr>
        <w:t>the need for standards to be based on risk analysis using the best available scientific evidence</w:t>
      </w:r>
    </w:p>
    <w:p w14:paraId="1EA51417" w14:textId="77777777" w:rsidR="00AB6CC5" w:rsidRPr="002C1A3B" w:rsidRDefault="00AB6CC5" w:rsidP="00AB6CC5">
      <w:pPr>
        <w:rPr>
          <w:lang w:bidi="ar-SA"/>
        </w:rPr>
      </w:pPr>
    </w:p>
    <w:p w14:paraId="3E00778B" w14:textId="77777777" w:rsidR="00AB6CC5" w:rsidRPr="00871CF9" w:rsidRDefault="00AB6CC5" w:rsidP="00AB6CC5">
      <w:r w:rsidRPr="00871CF9">
        <w:t>FSANZ used the best available scientific evidence to conduct the risk analysis which is provided in SD1 – the Risk and Technical Assessment Report. The Applicant submitted a dossier of scientific studies as part of their Application. Other technical information including scientific literature was also used in assessing the Application.</w:t>
      </w:r>
    </w:p>
    <w:p w14:paraId="32F6EA63" w14:textId="77777777" w:rsidR="00AB6CC5" w:rsidRPr="002C1A3B" w:rsidRDefault="00AB6CC5" w:rsidP="00AB6CC5">
      <w:pPr>
        <w:rPr>
          <w:lang w:bidi="ar-SA"/>
        </w:rPr>
      </w:pPr>
    </w:p>
    <w:p w14:paraId="458A981A" w14:textId="77777777" w:rsidR="00AB6CC5" w:rsidRPr="002C1A3B" w:rsidRDefault="00AB6CC5" w:rsidP="00AB6CC5">
      <w:pPr>
        <w:pStyle w:val="FSBullet1"/>
        <w:rPr>
          <w:b/>
        </w:rPr>
      </w:pPr>
      <w:r w:rsidRPr="002C1A3B">
        <w:rPr>
          <w:b/>
        </w:rPr>
        <w:t>the promotion of consistency between domestic and international food standards</w:t>
      </w:r>
    </w:p>
    <w:p w14:paraId="70FA09DD" w14:textId="77777777" w:rsidR="00AB6CC5" w:rsidRPr="002C1A3B" w:rsidRDefault="00AB6CC5" w:rsidP="00AB6CC5">
      <w:pPr>
        <w:rPr>
          <w:lang w:bidi="ar-SA"/>
        </w:rPr>
      </w:pPr>
    </w:p>
    <w:p w14:paraId="749C3FE2" w14:textId="2C59137C" w:rsidR="00056B8E" w:rsidRDefault="00AB6CC5" w:rsidP="00056B8E">
      <w:r>
        <w:t xml:space="preserve">There are no </w:t>
      </w:r>
      <w:r w:rsidRPr="003246F7">
        <w:t xml:space="preserve">Codex Alimentarius Standards for processing aids. </w:t>
      </w:r>
      <w:r>
        <w:t xml:space="preserve">However, the </w:t>
      </w:r>
      <w:r w:rsidR="00056B8E">
        <w:t>agarose ion exchange resin conforms with the Codex definition of a food processing aid, and the Codex</w:t>
      </w:r>
      <w:r w:rsidR="00056B8E">
        <w:rPr>
          <w:i/>
        </w:rPr>
        <w:t xml:space="preserve"> </w:t>
      </w:r>
      <w:r w:rsidR="00056B8E" w:rsidRPr="008E75FC">
        <w:rPr>
          <w:i/>
        </w:rPr>
        <w:t>Guidelines on Substances used as Processin</w:t>
      </w:r>
      <w:r w:rsidR="00056B8E">
        <w:rPr>
          <w:i/>
        </w:rPr>
        <w:t xml:space="preserve">g Aids </w:t>
      </w:r>
      <w:r w:rsidR="00056B8E">
        <w:t>(</w:t>
      </w:r>
      <w:r w:rsidR="00056B8E" w:rsidRPr="004D0E03">
        <w:t>CAC/GL 75-2010</w:t>
      </w:r>
      <w:r w:rsidR="00056B8E">
        <w:t>). In addition, it meets EU requirements for materials and articles intended to come into contact with food</w:t>
      </w:r>
      <w:r w:rsidR="005C591D" w:rsidRPr="005C591D">
        <w:t xml:space="preserve"> </w:t>
      </w:r>
      <w:r w:rsidR="005C591D">
        <w:t>(Regulation (EC) No. 1935/2004)</w:t>
      </w:r>
      <w:r w:rsidR="00056B8E" w:rsidRPr="00447B12">
        <w:t>.</w:t>
      </w:r>
      <w:r w:rsidR="00056B8E">
        <w:t xml:space="preserve"> </w:t>
      </w:r>
    </w:p>
    <w:p w14:paraId="5AA83A7B" w14:textId="77777777" w:rsidR="00056B8E" w:rsidRDefault="00056B8E" w:rsidP="00056B8E"/>
    <w:p w14:paraId="43595D1E" w14:textId="5D21AAE8" w:rsidR="00AB6CC5" w:rsidRDefault="00056B8E" w:rsidP="00AB6CC5">
      <w:r>
        <w:t>The resin has been approved as a food contact substance in the United States, and GRAS Notices were published for the manufacturing process for lactoferrin using the resin in 2014</w:t>
      </w:r>
      <w:r w:rsidR="00AB6CC5">
        <w:t>.</w:t>
      </w:r>
    </w:p>
    <w:p w14:paraId="56562F13" w14:textId="77777777" w:rsidR="00AB6CC5" w:rsidRPr="002C1A3B" w:rsidRDefault="00AB6CC5" w:rsidP="00AB6CC5">
      <w:pPr>
        <w:rPr>
          <w:lang w:bidi="ar-SA"/>
        </w:rPr>
      </w:pPr>
    </w:p>
    <w:p w14:paraId="4358CA50" w14:textId="77777777" w:rsidR="00AB6CC5" w:rsidRPr="002C1A3B" w:rsidRDefault="00AB6CC5" w:rsidP="00AB6CC5">
      <w:pPr>
        <w:pStyle w:val="FSBullet1"/>
        <w:rPr>
          <w:b/>
        </w:rPr>
      </w:pPr>
      <w:r w:rsidRPr="002C1A3B">
        <w:rPr>
          <w:b/>
        </w:rPr>
        <w:t>the desirability of an efficient and internationally competitive food industry</w:t>
      </w:r>
    </w:p>
    <w:p w14:paraId="405633CF" w14:textId="77777777" w:rsidR="00AB6CC5" w:rsidRPr="002C1A3B" w:rsidRDefault="00AB6CC5" w:rsidP="00AB6CC5">
      <w:pPr>
        <w:rPr>
          <w:lang w:bidi="ar-SA"/>
        </w:rPr>
      </w:pPr>
    </w:p>
    <w:p w14:paraId="5D59433A" w14:textId="0AE9B022" w:rsidR="00C00058" w:rsidRDefault="00056B8E" w:rsidP="00056B8E">
      <w:r>
        <w:t>T</w:t>
      </w:r>
      <w:r w:rsidRPr="00370240">
        <w:t xml:space="preserve">he </w:t>
      </w:r>
      <w:r>
        <w:t xml:space="preserve">agarose ion exchange </w:t>
      </w:r>
      <w:r w:rsidRPr="00370240">
        <w:t xml:space="preserve">resin is the only viable commercial method currently available </w:t>
      </w:r>
      <w:r>
        <w:t>for lactoferrin production. A</w:t>
      </w:r>
      <w:r w:rsidRPr="00370240">
        <w:t xml:space="preserve">s such, </w:t>
      </w:r>
      <w:r>
        <w:t xml:space="preserve">it </w:t>
      </w:r>
      <w:r w:rsidRPr="00370240">
        <w:t xml:space="preserve">has been the method used </w:t>
      </w:r>
      <w:r>
        <w:t xml:space="preserve">in other countries </w:t>
      </w:r>
      <w:r w:rsidRPr="00370240">
        <w:t>since lactoferrin was first produced commercially in 1986.</w:t>
      </w:r>
      <w:r w:rsidR="00C00058">
        <w:br w:type="page"/>
      </w:r>
    </w:p>
    <w:p w14:paraId="5F0BFE51" w14:textId="5CFE47F8" w:rsidR="00056B8E" w:rsidRPr="001F4FE4" w:rsidRDefault="00056B8E" w:rsidP="00056B8E">
      <w:r>
        <w:lastRenderedPageBreak/>
        <w:t>The Applicant anticipates that the approval of its use would be supported by the food industry and that it will benefit all dairy food processing companies. However, t</w:t>
      </w:r>
      <w:r w:rsidRPr="001F4FE4">
        <w:t xml:space="preserve">he food industry will make their own economic decisions, taking account of costs and benefits of </w:t>
      </w:r>
      <w:r>
        <w:t>using the new resin as a processing aid,</w:t>
      </w:r>
      <w:r w:rsidRPr="001F4FE4">
        <w:t xml:space="preserve"> to determine if it is of benefit to their business. </w:t>
      </w:r>
    </w:p>
    <w:p w14:paraId="2E2EA4AE" w14:textId="77777777" w:rsidR="00AB6CC5" w:rsidRPr="002C1A3B" w:rsidRDefault="00AB6CC5" w:rsidP="00AB6CC5">
      <w:pPr>
        <w:rPr>
          <w:lang w:bidi="ar-SA"/>
        </w:rPr>
      </w:pPr>
    </w:p>
    <w:p w14:paraId="4E708253" w14:textId="77777777" w:rsidR="00AB6CC5" w:rsidRPr="002C1A3B" w:rsidRDefault="00AB6CC5" w:rsidP="00AB6CC5">
      <w:pPr>
        <w:pStyle w:val="FSBullet1"/>
        <w:rPr>
          <w:b/>
        </w:rPr>
      </w:pPr>
      <w:r w:rsidRPr="002C1A3B">
        <w:rPr>
          <w:b/>
        </w:rPr>
        <w:t>the promotion of fair trading in food</w:t>
      </w:r>
    </w:p>
    <w:p w14:paraId="4D447F32" w14:textId="77777777" w:rsidR="00AB6CC5" w:rsidRPr="002C1A3B" w:rsidRDefault="00AB6CC5" w:rsidP="00AB6CC5">
      <w:pPr>
        <w:rPr>
          <w:lang w:bidi="ar-SA"/>
        </w:rPr>
      </w:pPr>
    </w:p>
    <w:p w14:paraId="4C142EE8" w14:textId="43F40930" w:rsidR="002672E8" w:rsidRDefault="00056B8E" w:rsidP="00056B8E">
      <w:r w:rsidRPr="00D511BA">
        <w:t xml:space="preserve">The </w:t>
      </w:r>
      <w:r>
        <w:t>agarose ion exchange resin</w:t>
      </w:r>
      <w:r w:rsidRPr="00D511BA">
        <w:t xml:space="preserve"> has been assessed as safe </w:t>
      </w:r>
      <w:r>
        <w:t xml:space="preserve">and permitted for use </w:t>
      </w:r>
      <w:r w:rsidRPr="00D511BA">
        <w:t>in other countries.</w:t>
      </w:r>
      <w:r>
        <w:t xml:space="preserve"> Permitting its use in Australia and New Zealand would support fair trading for both domestic and international food manufacturers and retailers.</w:t>
      </w:r>
    </w:p>
    <w:p w14:paraId="04115394" w14:textId="167155FA" w:rsidR="002672E8" w:rsidRDefault="002672E8">
      <w:pPr>
        <w:widowControl/>
      </w:pPr>
    </w:p>
    <w:p w14:paraId="3EE83296" w14:textId="77777777" w:rsidR="00AB6CC5" w:rsidRPr="002C1A3B" w:rsidRDefault="00AB6CC5" w:rsidP="00AB6CC5">
      <w:pPr>
        <w:pStyle w:val="FSBullet1"/>
        <w:rPr>
          <w:b/>
        </w:rPr>
      </w:pPr>
      <w:r w:rsidRPr="002C1A3B">
        <w:rPr>
          <w:b/>
        </w:rPr>
        <w:t xml:space="preserve">any written policy guidelines formulated by the </w:t>
      </w:r>
      <w:r>
        <w:rPr>
          <w:b/>
        </w:rPr>
        <w:t>Forum on Food Regulation</w:t>
      </w:r>
    </w:p>
    <w:p w14:paraId="00DE0DEA" w14:textId="77777777" w:rsidR="002672E8" w:rsidRDefault="002672E8" w:rsidP="00AB6CC5">
      <w:pPr>
        <w:keepNext/>
        <w:widowControl/>
      </w:pPr>
    </w:p>
    <w:p w14:paraId="51CBF524" w14:textId="77777777" w:rsidR="00AB6CC5" w:rsidRPr="00871CF9" w:rsidRDefault="00AB6CC5" w:rsidP="00AB6CC5">
      <w:pPr>
        <w:keepNext/>
        <w:widowControl/>
      </w:pPr>
      <w:r w:rsidRPr="00871CF9">
        <w:t xml:space="preserve">The </w:t>
      </w:r>
      <w:r>
        <w:t xml:space="preserve">Ministerial Policy Guideline </w:t>
      </w:r>
      <w:r w:rsidRPr="00A127AB">
        <w:rPr>
          <w:i/>
        </w:rPr>
        <w:t>Addition to Food of Substances other than Vitamins and Minerals</w:t>
      </w:r>
      <w:r w:rsidRPr="00871CF9">
        <w:rPr>
          <w:i/>
          <w:vertAlign w:val="superscript"/>
          <w:lang w:bidi="ar-SA"/>
        </w:rPr>
        <w:footnoteReference w:id="2"/>
      </w:r>
      <w:r w:rsidRPr="00871CF9">
        <w:t xml:space="preserve"> includes specific order policy principles for substances added to achieve a solely technological function, such as processing aids. These specific order policy principles state that permission should be granted where:</w:t>
      </w:r>
    </w:p>
    <w:p w14:paraId="1888422B" w14:textId="77777777" w:rsidR="00AB6CC5" w:rsidRPr="00871CF9" w:rsidRDefault="00AB6CC5" w:rsidP="00AB6CC5"/>
    <w:p w14:paraId="3E5F282A" w14:textId="77777777" w:rsidR="00AB6CC5" w:rsidRPr="00871CF9" w:rsidRDefault="00AB6CC5" w:rsidP="00AB6CC5">
      <w:pPr>
        <w:pStyle w:val="FSBullet1"/>
        <w:numPr>
          <w:ilvl w:val="0"/>
          <w:numId w:val="48"/>
        </w:numPr>
        <w:ind w:left="567" w:hanging="567"/>
      </w:pPr>
      <w:r w:rsidRPr="00871CF9">
        <w:t>the purpose for adding the substance can be articulated clearly by the manufacturer as achieving a solely technological function (i.e. the ‘stated purpose’)</w:t>
      </w:r>
    </w:p>
    <w:p w14:paraId="6394A41B" w14:textId="77777777" w:rsidR="00AB6CC5" w:rsidRPr="00871CF9" w:rsidRDefault="00AB6CC5" w:rsidP="00AB6CC5">
      <w:pPr>
        <w:pStyle w:val="FSBullet1"/>
        <w:numPr>
          <w:ilvl w:val="0"/>
          <w:numId w:val="48"/>
        </w:numPr>
        <w:ind w:left="567" w:hanging="567"/>
      </w:pPr>
      <w:r w:rsidRPr="00871CF9">
        <w:t>the addition of the substance to food is safe for human consumption</w:t>
      </w:r>
    </w:p>
    <w:p w14:paraId="58687946" w14:textId="77777777" w:rsidR="00AB6CC5" w:rsidRPr="00871CF9" w:rsidRDefault="00AB6CC5" w:rsidP="00AB6CC5">
      <w:pPr>
        <w:pStyle w:val="FSBullet1"/>
        <w:numPr>
          <w:ilvl w:val="0"/>
          <w:numId w:val="48"/>
        </w:numPr>
        <w:ind w:left="567" w:hanging="567"/>
      </w:pPr>
      <w:r w:rsidRPr="00871CF9">
        <w:t>the amounts added are consistent with achieving the technological function</w:t>
      </w:r>
    </w:p>
    <w:p w14:paraId="3B0147A0" w14:textId="77777777" w:rsidR="00AB6CC5" w:rsidRPr="00871CF9" w:rsidRDefault="00AB6CC5" w:rsidP="00AB6CC5">
      <w:pPr>
        <w:pStyle w:val="FSBullet1"/>
        <w:numPr>
          <w:ilvl w:val="0"/>
          <w:numId w:val="48"/>
        </w:numPr>
        <w:ind w:left="567" w:hanging="567"/>
      </w:pPr>
      <w:r w:rsidRPr="00871CF9">
        <w:t>the substance is added in a quantity and a form which is consistent with delivering the stated purpose</w:t>
      </w:r>
    </w:p>
    <w:p w14:paraId="3B258CC2" w14:textId="77777777" w:rsidR="00AB6CC5" w:rsidRPr="008200A6" w:rsidRDefault="00AB6CC5" w:rsidP="00AB6CC5">
      <w:pPr>
        <w:pStyle w:val="FSBullet1"/>
        <w:numPr>
          <w:ilvl w:val="0"/>
          <w:numId w:val="48"/>
        </w:numPr>
        <w:ind w:left="567" w:hanging="567"/>
      </w:pPr>
      <w:r w:rsidRPr="008200A6">
        <w:t>no nutrition, health or related claims are to be made in regard to the substance.</w:t>
      </w:r>
    </w:p>
    <w:p w14:paraId="2A95BAD5" w14:textId="77777777" w:rsidR="00AB6CC5" w:rsidRPr="008200A6" w:rsidRDefault="00AB6CC5" w:rsidP="00AB6CC5"/>
    <w:p w14:paraId="5E728239" w14:textId="0FA2BE12" w:rsidR="005253F0" w:rsidRPr="00871CF9" w:rsidRDefault="005253F0" w:rsidP="005253F0">
      <w:r w:rsidRPr="0006373D">
        <w:t xml:space="preserve">FSANZ determined that permitting the use of the </w:t>
      </w:r>
      <w:r>
        <w:t>agarose ion exchange resin</w:t>
      </w:r>
      <w:r>
        <w:rPr>
          <w:i/>
        </w:rPr>
        <w:t xml:space="preserve"> </w:t>
      </w:r>
      <w:r>
        <w:t xml:space="preserve">as a processing aid </w:t>
      </w:r>
      <w:r>
        <w:rPr>
          <w:rFonts w:cs="Arial"/>
          <w:color w:val="000000" w:themeColor="text1"/>
        </w:rPr>
        <w:t>for the production of lactoferrin</w:t>
      </w:r>
      <w:r>
        <w:t xml:space="preserve"> </w:t>
      </w:r>
      <w:r w:rsidRPr="0006373D">
        <w:t>is consistent with the specific order policy principles for ‘Technological Function’.</w:t>
      </w:r>
    </w:p>
    <w:p w14:paraId="26CA581A" w14:textId="77777777" w:rsidR="001122EC" w:rsidRPr="005253F0" w:rsidRDefault="002C1A3B" w:rsidP="001122EC">
      <w:pPr>
        <w:pStyle w:val="Heading1"/>
      </w:pPr>
      <w:bookmarkStart w:id="121" w:name="_Toc447716533"/>
      <w:r w:rsidRPr="005253F0">
        <w:t>6</w:t>
      </w:r>
      <w:r w:rsidR="001122EC" w:rsidRPr="005253F0">
        <w:tab/>
        <w:t>R</w:t>
      </w:r>
      <w:r w:rsidR="000B427A" w:rsidRPr="005253F0">
        <w:t>eferences</w:t>
      </w:r>
      <w:bookmarkEnd w:id="121"/>
    </w:p>
    <w:p w14:paraId="01FFF4BB" w14:textId="77777777" w:rsidR="005253F0" w:rsidRDefault="005253F0" w:rsidP="005253F0">
      <w:pPr>
        <w:rPr>
          <w:rStyle w:val="Hyperlink"/>
          <w:color w:val="auto"/>
          <w:sz w:val="20"/>
          <w:szCs w:val="20"/>
          <w:u w:val="none"/>
        </w:rPr>
      </w:pPr>
      <w:r>
        <w:rPr>
          <w:sz w:val="20"/>
          <w:szCs w:val="20"/>
        </w:rPr>
        <w:t xml:space="preserve">Codex Alimentarius Commission (2010) Guidelines on substances used as processing aids, CAC/GL 75-2010 </w:t>
      </w:r>
      <w:hyperlink r:id="rId19" w:history="1">
        <w:r w:rsidRPr="008A4F8C">
          <w:rPr>
            <w:rStyle w:val="Hyperlink"/>
            <w:sz w:val="20"/>
            <w:szCs w:val="20"/>
          </w:rPr>
          <w:t>http://www.codexalimentarius.org/standards/list-of-standards/</w:t>
        </w:r>
      </w:hyperlink>
      <w:r w:rsidRPr="00E86F00">
        <w:rPr>
          <w:rStyle w:val="Hyperlink"/>
          <w:sz w:val="20"/>
          <w:szCs w:val="20"/>
          <w:u w:val="none"/>
        </w:rPr>
        <w:t xml:space="preserve">. </w:t>
      </w:r>
      <w:r w:rsidRPr="00E86F00">
        <w:rPr>
          <w:rStyle w:val="Hyperlink"/>
          <w:color w:val="auto"/>
          <w:sz w:val="20"/>
          <w:szCs w:val="20"/>
          <w:u w:val="none"/>
        </w:rPr>
        <w:t>A</w:t>
      </w:r>
      <w:r>
        <w:rPr>
          <w:rStyle w:val="Hyperlink"/>
          <w:color w:val="auto"/>
          <w:sz w:val="20"/>
          <w:szCs w:val="20"/>
          <w:u w:val="none"/>
        </w:rPr>
        <w:t>cc</w:t>
      </w:r>
      <w:r w:rsidRPr="00E86F00">
        <w:rPr>
          <w:rStyle w:val="Hyperlink"/>
          <w:color w:val="auto"/>
          <w:sz w:val="20"/>
          <w:szCs w:val="20"/>
          <w:u w:val="none"/>
        </w:rPr>
        <w:t xml:space="preserve">essed </w:t>
      </w:r>
      <w:r>
        <w:rPr>
          <w:rStyle w:val="Hyperlink"/>
          <w:color w:val="auto"/>
          <w:sz w:val="20"/>
          <w:szCs w:val="20"/>
          <w:u w:val="none"/>
        </w:rPr>
        <w:t>on 23 December 2015.</w:t>
      </w:r>
    </w:p>
    <w:p w14:paraId="535C4F52" w14:textId="77777777" w:rsidR="005253F0" w:rsidRDefault="005253F0" w:rsidP="005253F0">
      <w:pPr>
        <w:rPr>
          <w:rStyle w:val="Hyperlink"/>
          <w:color w:val="auto"/>
          <w:sz w:val="20"/>
          <w:szCs w:val="20"/>
          <w:u w:val="none"/>
        </w:rPr>
      </w:pPr>
    </w:p>
    <w:p w14:paraId="175BEF23" w14:textId="77777777" w:rsidR="005253F0" w:rsidRDefault="005253F0" w:rsidP="005253F0">
      <w:pPr>
        <w:rPr>
          <w:rStyle w:val="Hyperlink"/>
          <w:color w:val="auto"/>
          <w:sz w:val="20"/>
          <w:szCs w:val="20"/>
          <w:u w:val="none"/>
        </w:rPr>
      </w:pPr>
      <w:r>
        <w:rPr>
          <w:rStyle w:val="Hyperlink"/>
          <w:color w:val="auto"/>
          <w:sz w:val="20"/>
          <w:szCs w:val="20"/>
          <w:u w:val="none"/>
        </w:rPr>
        <w:t>Codex Alimentarius Commission (2015) Procedural Manual, 24</w:t>
      </w:r>
      <w:r w:rsidRPr="0025762B">
        <w:rPr>
          <w:rStyle w:val="Hyperlink"/>
          <w:color w:val="auto"/>
          <w:sz w:val="20"/>
          <w:szCs w:val="20"/>
          <w:u w:val="none"/>
          <w:vertAlign w:val="superscript"/>
        </w:rPr>
        <w:t>th</w:t>
      </w:r>
      <w:r>
        <w:rPr>
          <w:rStyle w:val="Hyperlink"/>
          <w:color w:val="auto"/>
          <w:sz w:val="20"/>
          <w:szCs w:val="20"/>
          <w:u w:val="none"/>
        </w:rPr>
        <w:t xml:space="preserve"> edition </w:t>
      </w:r>
      <w:hyperlink r:id="rId20" w:history="1">
        <w:r w:rsidRPr="008C3B2D">
          <w:rPr>
            <w:rStyle w:val="Hyperlink"/>
            <w:sz w:val="20"/>
            <w:szCs w:val="20"/>
          </w:rPr>
          <w:t>http://www.fao.org/fao-who-codexalimentarius/procedures-strategies/procedural-manual/en/</w:t>
        </w:r>
      </w:hyperlink>
      <w:r>
        <w:rPr>
          <w:rStyle w:val="Hyperlink"/>
          <w:color w:val="auto"/>
          <w:sz w:val="20"/>
          <w:szCs w:val="20"/>
          <w:u w:val="none"/>
        </w:rPr>
        <w:t xml:space="preserve">. Accessed on 23 December 2015.   </w:t>
      </w:r>
    </w:p>
    <w:p w14:paraId="3CF1BCE0" w14:textId="77777777" w:rsidR="005253F0" w:rsidRDefault="005253F0" w:rsidP="005253F0">
      <w:pPr>
        <w:rPr>
          <w:rStyle w:val="Hyperlink"/>
          <w:color w:val="auto"/>
          <w:sz w:val="20"/>
          <w:szCs w:val="20"/>
          <w:u w:val="none"/>
        </w:rPr>
      </w:pPr>
    </w:p>
    <w:p w14:paraId="20E7A8D4" w14:textId="77777777" w:rsidR="005253F0" w:rsidRDefault="005253F0" w:rsidP="005253F0">
      <w:pPr>
        <w:rPr>
          <w:rStyle w:val="Hyperlink"/>
          <w:color w:val="auto"/>
          <w:sz w:val="20"/>
          <w:szCs w:val="20"/>
          <w:u w:val="none"/>
        </w:rPr>
      </w:pPr>
      <w:r>
        <w:rPr>
          <w:rStyle w:val="Hyperlink"/>
          <w:color w:val="auto"/>
          <w:sz w:val="20"/>
          <w:szCs w:val="20"/>
          <w:u w:val="none"/>
        </w:rPr>
        <w:t>European Commission (2004) Regulation (EC)</w:t>
      </w:r>
      <w:r w:rsidRPr="00C6290E">
        <w:rPr>
          <w:rStyle w:val="Hyperlink"/>
          <w:color w:val="auto"/>
          <w:sz w:val="20"/>
          <w:szCs w:val="20"/>
          <w:u w:val="none"/>
        </w:rPr>
        <w:t xml:space="preserve"> No 1935/2004 </w:t>
      </w:r>
      <w:r>
        <w:rPr>
          <w:rStyle w:val="Hyperlink"/>
          <w:color w:val="auto"/>
          <w:sz w:val="20"/>
          <w:szCs w:val="20"/>
          <w:u w:val="none"/>
        </w:rPr>
        <w:t xml:space="preserve">of the European Parliament and of the Council of 27 October 2004 </w:t>
      </w:r>
      <w:r w:rsidRPr="00C6290E">
        <w:rPr>
          <w:rStyle w:val="Hyperlink"/>
          <w:color w:val="auto"/>
          <w:sz w:val="20"/>
          <w:szCs w:val="20"/>
          <w:u w:val="none"/>
        </w:rPr>
        <w:t>on materials and articles intended to come into contact with food and repealing Directives 80/590/EEC</w:t>
      </w:r>
      <w:r>
        <w:rPr>
          <w:rStyle w:val="Hyperlink"/>
          <w:color w:val="auto"/>
          <w:sz w:val="20"/>
          <w:szCs w:val="20"/>
          <w:u w:val="none"/>
        </w:rPr>
        <w:t xml:space="preserve"> </w:t>
      </w:r>
      <w:r w:rsidRPr="00C6290E">
        <w:rPr>
          <w:rStyle w:val="Hyperlink"/>
          <w:color w:val="auto"/>
          <w:sz w:val="20"/>
          <w:szCs w:val="20"/>
          <w:u w:val="none"/>
        </w:rPr>
        <w:t>and 89/109/EEC</w:t>
      </w:r>
      <w:r>
        <w:rPr>
          <w:rStyle w:val="Hyperlink"/>
          <w:color w:val="auto"/>
          <w:sz w:val="20"/>
          <w:szCs w:val="20"/>
          <w:u w:val="none"/>
        </w:rPr>
        <w:t xml:space="preserve">. </w:t>
      </w:r>
      <w:r w:rsidRPr="00C6290E">
        <w:rPr>
          <w:rStyle w:val="Hyperlink"/>
          <w:color w:val="auto"/>
          <w:sz w:val="20"/>
          <w:szCs w:val="20"/>
          <w:u w:val="none"/>
        </w:rPr>
        <w:t>Official Journal of the European Union</w:t>
      </w:r>
      <w:r>
        <w:rPr>
          <w:rStyle w:val="Hyperlink"/>
          <w:color w:val="auto"/>
          <w:sz w:val="20"/>
          <w:szCs w:val="20"/>
          <w:u w:val="none"/>
        </w:rPr>
        <w:t xml:space="preserve">  47(L338):4-17 </w:t>
      </w:r>
      <w:hyperlink r:id="rId21" w:history="1">
        <w:r w:rsidRPr="008A4F8C">
          <w:rPr>
            <w:rStyle w:val="Hyperlink"/>
            <w:sz w:val="20"/>
            <w:szCs w:val="20"/>
          </w:rPr>
          <w:t>http://eur-lex.europa.eu/legal-content/EN/TXT/?uri=uriserv:OJ.L_.2004.338.01.0004.01.ENG&amp;toc=OJ:L:2004:338:TOC</w:t>
        </w:r>
      </w:hyperlink>
      <w:r>
        <w:rPr>
          <w:rStyle w:val="Hyperlink"/>
          <w:color w:val="auto"/>
          <w:sz w:val="20"/>
          <w:szCs w:val="20"/>
          <w:u w:val="none"/>
        </w:rPr>
        <w:t>. Accessed on 23 December 2015.</w:t>
      </w:r>
    </w:p>
    <w:p w14:paraId="7244A37B" w14:textId="77777777" w:rsidR="005253F0" w:rsidRDefault="005253F0" w:rsidP="005253F0">
      <w:pPr>
        <w:rPr>
          <w:rStyle w:val="Hyperlink"/>
          <w:color w:val="auto"/>
          <w:sz w:val="20"/>
          <w:szCs w:val="20"/>
          <w:u w:val="none"/>
        </w:rPr>
      </w:pPr>
    </w:p>
    <w:p w14:paraId="4E40970D" w14:textId="77777777" w:rsidR="005253F0" w:rsidRDefault="005253F0" w:rsidP="005253F0">
      <w:pPr>
        <w:rPr>
          <w:sz w:val="20"/>
        </w:rPr>
      </w:pPr>
      <w:r>
        <w:rPr>
          <w:sz w:val="20"/>
        </w:rPr>
        <w:t>US FDA (2004)</w:t>
      </w:r>
      <w:r w:rsidRPr="00E50CE7">
        <w:t xml:space="preserve"> </w:t>
      </w:r>
      <w:r w:rsidRPr="00E50CE7">
        <w:rPr>
          <w:sz w:val="20"/>
        </w:rPr>
        <w:t>Inventory of Effective Food Contact Substance (FCS) Notifications</w:t>
      </w:r>
      <w:r>
        <w:rPr>
          <w:sz w:val="20"/>
        </w:rPr>
        <w:t xml:space="preserve">. </w:t>
      </w:r>
      <w:r w:rsidRPr="00E50CE7">
        <w:rPr>
          <w:sz w:val="20"/>
        </w:rPr>
        <w:t>F</w:t>
      </w:r>
      <w:r>
        <w:rPr>
          <w:sz w:val="20"/>
        </w:rPr>
        <w:t xml:space="preserve">ood </w:t>
      </w:r>
      <w:r w:rsidRPr="00E50CE7">
        <w:rPr>
          <w:sz w:val="20"/>
        </w:rPr>
        <w:t>C</w:t>
      </w:r>
      <w:r>
        <w:rPr>
          <w:sz w:val="20"/>
        </w:rPr>
        <w:t xml:space="preserve">ontact </w:t>
      </w:r>
      <w:r w:rsidRPr="00E50CE7">
        <w:rPr>
          <w:sz w:val="20"/>
        </w:rPr>
        <w:t>N</w:t>
      </w:r>
      <w:r>
        <w:rPr>
          <w:sz w:val="20"/>
        </w:rPr>
        <w:t>otification</w:t>
      </w:r>
      <w:r w:rsidRPr="00E50CE7">
        <w:rPr>
          <w:sz w:val="20"/>
        </w:rPr>
        <w:t xml:space="preserve"> No. 443</w:t>
      </w:r>
      <w:r>
        <w:rPr>
          <w:sz w:val="20"/>
        </w:rPr>
        <w:t xml:space="preserve">. </w:t>
      </w:r>
      <w:r w:rsidRPr="00E50CE7">
        <w:rPr>
          <w:sz w:val="20"/>
        </w:rPr>
        <w:t>Amersham Biosciences</w:t>
      </w:r>
      <w:r>
        <w:rPr>
          <w:sz w:val="20"/>
        </w:rPr>
        <w:t xml:space="preserve">. </w:t>
      </w:r>
      <w:r w:rsidRPr="00E50CE7">
        <w:rPr>
          <w:sz w:val="20"/>
        </w:rPr>
        <w:t>Food Contact Substance: Agarose, polymer with (chloromethyl)oxirane, 2-hydroxy-3(3-sulfopropoxy)propyl ethers, sodium salts (CAS Reg. No. 676618-71-6)</w:t>
      </w:r>
      <w:r>
        <w:rPr>
          <w:sz w:val="20"/>
        </w:rPr>
        <w:t xml:space="preserve">. </w:t>
      </w:r>
    </w:p>
    <w:p w14:paraId="1EEFA0D2" w14:textId="77777777" w:rsidR="005253F0" w:rsidRDefault="005253F0" w:rsidP="005253F0">
      <w:pPr>
        <w:rPr>
          <w:rStyle w:val="Hyperlink"/>
          <w:color w:val="auto"/>
          <w:sz w:val="20"/>
          <w:szCs w:val="20"/>
          <w:u w:val="none"/>
        </w:rPr>
      </w:pPr>
    </w:p>
    <w:p w14:paraId="56A25466" w14:textId="77777777" w:rsidR="00C00058" w:rsidRDefault="00C00058" w:rsidP="005253F0">
      <w:pPr>
        <w:rPr>
          <w:sz w:val="20"/>
          <w:szCs w:val="20"/>
        </w:rPr>
      </w:pPr>
      <w:r>
        <w:rPr>
          <w:sz w:val="20"/>
          <w:szCs w:val="20"/>
        </w:rPr>
        <w:br w:type="page"/>
      </w:r>
    </w:p>
    <w:p w14:paraId="69F95C9F" w14:textId="521A5100" w:rsidR="005253F0" w:rsidRPr="00E86F00" w:rsidRDefault="005253F0" w:rsidP="005253F0">
      <w:pPr>
        <w:rPr>
          <w:sz w:val="20"/>
          <w:szCs w:val="20"/>
        </w:rPr>
      </w:pPr>
      <w:r>
        <w:rPr>
          <w:sz w:val="20"/>
          <w:szCs w:val="20"/>
        </w:rPr>
        <w:lastRenderedPageBreak/>
        <w:t xml:space="preserve">US FDA (2014a) GRAS Notice No GRN 464 [Cow’s milk-derived lactoferrin]. Submitted by Morinaga Milk Industry Co., Ltd, Tokyo, Japan to the </w:t>
      </w:r>
      <w:r w:rsidRPr="00E8309A">
        <w:rPr>
          <w:sz w:val="20"/>
          <w:szCs w:val="20"/>
        </w:rPr>
        <w:t>U.S. Food and Drug Administration</w:t>
      </w:r>
      <w:r>
        <w:rPr>
          <w:sz w:val="20"/>
          <w:szCs w:val="20"/>
        </w:rPr>
        <w:t xml:space="preserve"> (US FDA), on 22 March 2013. </w:t>
      </w:r>
      <w:r w:rsidRPr="00DC41A1">
        <w:rPr>
          <w:sz w:val="20"/>
          <w:szCs w:val="20"/>
        </w:rPr>
        <w:t xml:space="preserve">Releasable dossier and </w:t>
      </w:r>
      <w:r w:rsidRPr="00DC41A1">
        <w:rPr>
          <w:iCs/>
          <w:sz w:val="20"/>
          <w:szCs w:val="20"/>
        </w:rPr>
        <w:t>Agency Response Letter available at this link</w:t>
      </w:r>
      <w:r>
        <w:rPr>
          <w:sz w:val="20"/>
          <w:szCs w:val="20"/>
        </w:rPr>
        <w:t xml:space="preserve"> </w:t>
      </w:r>
      <w:hyperlink r:id="rId22" w:history="1">
        <w:r w:rsidRPr="002B1802">
          <w:rPr>
            <w:rStyle w:val="Hyperlink"/>
            <w:sz w:val="20"/>
            <w:szCs w:val="20"/>
          </w:rPr>
          <w:t>http://www.accessdata.fda.gov/scripts/fdcc/index.cfm?set=GRASNotices&amp;id=464</w:t>
        </w:r>
      </w:hyperlink>
      <w:r w:rsidRPr="002B1802">
        <w:rPr>
          <w:sz w:val="20"/>
          <w:szCs w:val="20"/>
        </w:rPr>
        <w:t>.</w:t>
      </w:r>
      <w:r>
        <w:t xml:space="preserve"> </w:t>
      </w:r>
      <w:r w:rsidRPr="00E86F00">
        <w:rPr>
          <w:rStyle w:val="Hyperlink"/>
          <w:color w:val="auto"/>
          <w:sz w:val="20"/>
          <w:szCs w:val="20"/>
          <w:u w:val="none"/>
        </w:rPr>
        <w:t>A</w:t>
      </w:r>
      <w:r>
        <w:rPr>
          <w:rStyle w:val="Hyperlink"/>
          <w:color w:val="auto"/>
          <w:sz w:val="20"/>
          <w:szCs w:val="20"/>
          <w:u w:val="none"/>
        </w:rPr>
        <w:t>cc</w:t>
      </w:r>
      <w:r w:rsidRPr="00E86F00">
        <w:rPr>
          <w:rStyle w:val="Hyperlink"/>
          <w:color w:val="auto"/>
          <w:sz w:val="20"/>
          <w:szCs w:val="20"/>
          <w:u w:val="none"/>
        </w:rPr>
        <w:t xml:space="preserve">essed </w:t>
      </w:r>
      <w:r>
        <w:rPr>
          <w:rStyle w:val="Hyperlink"/>
          <w:color w:val="auto"/>
          <w:sz w:val="20"/>
          <w:szCs w:val="20"/>
          <w:u w:val="none"/>
        </w:rPr>
        <w:t>on 2</w:t>
      </w:r>
      <w:r w:rsidRPr="00E86F00">
        <w:rPr>
          <w:rStyle w:val="Hyperlink"/>
          <w:color w:val="auto"/>
          <w:sz w:val="20"/>
          <w:szCs w:val="20"/>
          <w:u w:val="none"/>
        </w:rPr>
        <w:t>3</w:t>
      </w:r>
      <w:r>
        <w:rPr>
          <w:rStyle w:val="Hyperlink"/>
          <w:color w:val="auto"/>
          <w:sz w:val="20"/>
          <w:szCs w:val="20"/>
          <w:u w:val="none"/>
        </w:rPr>
        <w:t xml:space="preserve"> December 2015.</w:t>
      </w:r>
    </w:p>
    <w:p w14:paraId="1E6332C7" w14:textId="77777777" w:rsidR="005253F0" w:rsidRDefault="005253F0" w:rsidP="005253F0">
      <w:pPr>
        <w:rPr>
          <w:sz w:val="20"/>
          <w:szCs w:val="20"/>
        </w:rPr>
      </w:pPr>
    </w:p>
    <w:p w14:paraId="28E26CAC" w14:textId="6C897BAF" w:rsidR="002672E8" w:rsidRDefault="005253F0" w:rsidP="005253F0">
      <w:pPr>
        <w:rPr>
          <w:sz w:val="20"/>
          <w:szCs w:val="20"/>
        </w:rPr>
      </w:pPr>
      <w:r>
        <w:rPr>
          <w:sz w:val="20"/>
          <w:szCs w:val="20"/>
        </w:rPr>
        <w:t xml:space="preserve">US FDA (2014b) GRAS Notice No GRN 465 [Cow’s milk-derived lactoferrin]. Submitted by Morinaga Milk Industry Co., Ltd, Tokyo, Japan to the </w:t>
      </w:r>
      <w:r w:rsidRPr="00E8309A">
        <w:rPr>
          <w:sz w:val="20"/>
          <w:szCs w:val="20"/>
        </w:rPr>
        <w:t>U.S. Food and Drug Administration</w:t>
      </w:r>
      <w:r>
        <w:rPr>
          <w:sz w:val="20"/>
          <w:szCs w:val="20"/>
        </w:rPr>
        <w:t xml:space="preserve"> (US FDA), on 22 March 2013. </w:t>
      </w:r>
      <w:r w:rsidRPr="00DC41A1">
        <w:rPr>
          <w:sz w:val="20"/>
          <w:szCs w:val="20"/>
        </w:rPr>
        <w:t xml:space="preserve">Releasable dossier and </w:t>
      </w:r>
      <w:r w:rsidRPr="00DC41A1">
        <w:rPr>
          <w:iCs/>
          <w:sz w:val="20"/>
          <w:szCs w:val="20"/>
        </w:rPr>
        <w:t>Agency Response Letter available at this link</w:t>
      </w:r>
      <w:r>
        <w:rPr>
          <w:sz w:val="20"/>
          <w:szCs w:val="20"/>
        </w:rPr>
        <w:t xml:space="preserve"> </w:t>
      </w:r>
      <w:hyperlink r:id="rId23" w:history="1">
        <w:r w:rsidRPr="002B1802">
          <w:rPr>
            <w:rStyle w:val="Hyperlink"/>
            <w:sz w:val="20"/>
            <w:szCs w:val="20"/>
          </w:rPr>
          <w:t>http://www.accessdata.fda.gov/scripts/fdcc/?set=GRASNotices&amp;id=465</w:t>
        </w:r>
      </w:hyperlink>
      <w:r>
        <w:t xml:space="preserve">. </w:t>
      </w:r>
      <w:r w:rsidRPr="00E86F00">
        <w:rPr>
          <w:rStyle w:val="Hyperlink"/>
          <w:color w:val="auto"/>
          <w:sz w:val="20"/>
          <w:szCs w:val="20"/>
          <w:u w:val="none"/>
        </w:rPr>
        <w:t>A</w:t>
      </w:r>
      <w:r>
        <w:rPr>
          <w:rStyle w:val="Hyperlink"/>
          <w:color w:val="auto"/>
          <w:sz w:val="20"/>
          <w:szCs w:val="20"/>
          <w:u w:val="none"/>
        </w:rPr>
        <w:t>cc</w:t>
      </w:r>
      <w:r w:rsidRPr="00E86F00">
        <w:rPr>
          <w:rStyle w:val="Hyperlink"/>
          <w:color w:val="auto"/>
          <w:sz w:val="20"/>
          <w:szCs w:val="20"/>
          <w:u w:val="none"/>
        </w:rPr>
        <w:t xml:space="preserve">essed </w:t>
      </w:r>
      <w:r>
        <w:rPr>
          <w:rStyle w:val="Hyperlink"/>
          <w:color w:val="auto"/>
          <w:sz w:val="20"/>
          <w:szCs w:val="20"/>
          <w:u w:val="none"/>
        </w:rPr>
        <w:t>on 2</w:t>
      </w:r>
      <w:r w:rsidRPr="00E86F00">
        <w:rPr>
          <w:rStyle w:val="Hyperlink"/>
          <w:color w:val="auto"/>
          <w:sz w:val="20"/>
          <w:szCs w:val="20"/>
          <w:u w:val="none"/>
        </w:rPr>
        <w:t>3</w:t>
      </w:r>
      <w:r>
        <w:rPr>
          <w:rStyle w:val="Hyperlink"/>
          <w:color w:val="auto"/>
          <w:sz w:val="20"/>
          <w:szCs w:val="20"/>
          <w:u w:val="none"/>
        </w:rPr>
        <w:t xml:space="preserve"> December 2015.</w:t>
      </w:r>
    </w:p>
    <w:p w14:paraId="6B9AC5FC" w14:textId="77777777" w:rsidR="0012388D" w:rsidRDefault="00D15A08" w:rsidP="006C22A7">
      <w:pPr>
        <w:spacing w:before="240"/>
        <w:rPr>
          <w:b/>
          <w:sz w:val="28"/>
          <w:szCs w:val="28"/>
        </w:rPr>
      </w:pPr>
      <w:r w:rsidRPr="006C22A7">
        <w:rPr>
          <w:b/>
          <w:sz w:val="28"/>
          <w:szCs w:val="28"/>
        </w:rPr>
        <w:t>A</w:t>
      </w:r>
      <w:bookmarkEnd w:id="91"/>
      <w:bookmarkEnd w:id="92"/>
      <w:bookmarkEnd w:id="93"/>
      <w:bookmarkEnd w:id="94"/>
      <w:bookmarkEnd w:id="95"/>
      <w:r w:rsidR="00B21055">
        <w:rPr>
          <w:b/>
          <w:sz w:val="28"/>
          <w:szCs w:val="28"/>
        </w:rPr>
        <w:t>ttachments</w:t>
      </w:r>
    </w:p>
    <w:p w14:paraId="2BAA39A0" w14:textId="77777777" w:rsidR="006C22A7" w:rsidRDefault="006C22A7" w:rsidP="00755F02"/>
    <w:p w14:paraId="3C718A50" w14:textId="76668703" w:rsidR="00795D86" w:rsidRDefault="00755F02" w:rsidP="00456BD5">
      <w:pPr>
        <w:ind w:left="567" w:hanging="567"/>
      </w:pPr>
      <w:r>
        <w:t>A.</w:t>
      </w:r>
      <w:r>
        <w:tab/>
      </w:r>
      <w:r w:rsidR="009A2699" w:rsidRPr="009A2699">
        <w:t xml:space="preserve">Approved </w:t>
      </w:r>
      <w:r w:rsidR="00E47D3B">
        <w:t xml:space="preserve">draft </w:t>
      </w:r>
      <w:r w:rsidR="000576EB" w:rsidRPr="005253F0">
        <w:t>variation</w:t>
      </w:r>
      <w:r w:rsidR="005253F0" w:rsidRPr="005253F0">
        <w:t xml:space="preserve"> </w:t>
      </w:r>
      <w:r w:rsidR="000576EB">
        <w:t>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6A588426" w14:textId="56C42AD4" w:rsidR="003C4969" w:rsidRPr="005253F0" w:rsidRDefault="00456BD5" w:rsidP="005253F0">
      <w:pPr>
        <w:ind w:left="567" w:hanging="567"/>
      </w:pPr>
      <w:r w:rsidRPr="00456BD5">
        <w:t>B</w:t>
      </w:r>
      <w:r w:rsidR="00755F02" w:rsidRPr="00456BD5">
        <w:t>.</w:t>
      </w:r>
      <w:r w:rsidR="00755F02" w:rsidRPr="00456BD5">
        <w:tab/>
      </w:r>
      <w:r w:rsidR="005253F0">
        <w:t xml:space="preserve">Explanatory Statement </w:t>
      </w:r>
    </w:p>
    <w:p w14:paraId="60D285DC" w14:textId="56567A52" w:rsidR="00456BD5" w:rsidRPr="00456BD5" w:rsidRDefault="003C4969" w:rsidP="00456BD5">
      <w:pPr>
        <w:pStyle w:val="Heading2"/>
        <w:ind w:left="0" w:firstLine="0"/>
      </w:pPr>
      <w:r w:rsidRPr="00932F14">
        <w:br w:type="page"/>
      </w:r>
      <w:bookmarkStart w:id="122" w:name="_Toc29883131"/>
      <w:bookmarkStart w:id="123" w:name="_Toc41906818"/>
      <w:bookmarkStart w:id="124" w:name="_Toc41907565"/>
      <w:bookmarkStart w:id="125" w:name="_Toc120358596"/>
      <w:bookmarkStart w:id="126" w:name="_Toc175381458"/>
      <w:bookmarkStart w:id="127" w:name="_Toc11735644"/>
      <w:bookmarkStart w:id="128" w:name="_Toc447716534"/>
      <w:r w:rsidRPr="00932F14">
        <w:lastRenderedPageBreak/>
        <w:t xml:space="preserve">Attachment </w:t>
      </w:r>
      <w:bookmarkEnd w:id="122"/>
      <w:bookmarkEnd w:id="123"/>
      <w:bookmarkEnd w:id="124"/>
      <w:bookmarkEnd w:id="125"/>
      <w:bookmarkEnd w:id="126"/>
      <w:r w:rsidR="00456B54">
        <w:t>A</w:t>
      </w:r>
      <w:bookmarkStart w:id="129" w:name="_Toc120358597"/>
      <w:bookmarkStart w:id="130" w:name="_Toc175381459"/>
      <w:bookmarkEnd w:id="127"/>
      <w:r w:rsidR="00755F02">
        <w:t xml:space="preserve"> –</w:t>
      </w:r>
      <w:bookmarkStart w:id="131" w:name="_Toc120358598"/>
      <w:bookmarkStart w:id="132" w:name="_Toc175381460"/>
      <w:bookmarkEnd w:id="129"/>
      <w:bookmarkEnd w:id="130"/>
      <w:r w:rsidR="005E06C0">
        <w:t xml:space="preserve"> </w:t>
      </w:r>
      <w:r w:rsidR="00456BD5">
        <w:t>Approved</w:t>
      </w:r>
      <w:r w:rsidR="00456BD5" w:rsidRPr="00932F14">
        <w:t xml:space="preserve"> </w:t>
      </w:r>
      <w:r w:rsidR="00456BD5">
        <w:t xml:space="preserve">draft </w:t>
      </w:r>
      <w:r w:rsidR="00456BD5" w:rsidRPr="00932F14">
        <w:t>variatio</w:t>
      </w:r>
      <w:r w:rsidR="00456BD5" w:rsidRPr="005253F0">
        <w:t>n</w:t>
      </w:r>
      <w:r w:rsidR="00456BD5" w:rsidRPr="00932F14">
        <w:t xml:space="preserve"> to the</w:t>
      </w:r>
      <w:r w:rsidR="00456BD5" w:rsidRPr="00755F02">
        <w:t xml:space="preserve"> </w:t>
      </w:r>
      <w:r w:rsidR="00456BD5" w:rsidRPr="00795D86">
        <w:rPr>
          <w:i/>
        </w:rPr>
        <w:t>Australia New Zealand Food Standards Code</w:t>
      </w:r>
      <w:bookmarkEnd w:id="128"/>
      <w:r w:rsidR="00456BD5">
        <w:rPr>
          <w:i/>
        </w:rPr>
        <w:t xml:space="preserve"> </w:t>
      </w:r>
    </w:p>
    <w:p w14:paraId="05207F82" w14:textId="306E7438" w:rsidR="005253F0" w:rsidRPr="00A55221" w:rsidRDefault="005253F0" w:rsidP="001113F2">
      <w:pPr>
        <w:rPr>
          <w:noProof/>
          <w:lang w:val="en-AU" w:eastAsia="en-AU"/>
        </w:rPr>
      </w:pPr>
      <w:bookmarkStart w:id="133" w:name="_Toc415572277"/>
      <w:bookmarkStart w:id="134" w:name="_Toc421012590"/>
      <w:bookmarkStart w:id="135" w:name="_Toc414880388"/>
      <w:bookmarkEnd w:id="133"/>
      <w:bookmarkEnd w:id="134"/>
      <w:bookmarkEnd w:id="135"/>
      <w:r w:rsidRPr="00A55221">
        <w:rPr>
          <w:noProof/>
          <w:lang w:eastAsia="en-GB" w:bidi="ar-SA"/>
        </w:rPr>
        <w:drawing>
          <wp:inline distT="0" distB="0" distL="0" distR="0" wp14:anchorId="0ACC85CE" wp14:editId="6335ED46">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AC85047" w14:textId="77777777" w:rsidR="005253F0" w:rsidRPr="00C809DC" w:rsidRDefault="005253F0" w:rsidP="005253F0">
      <w:pPr>
        <w:pBdr>
          <w:bottom w:val="single" w:sz="4" w:space="1" w:color="auto"/>
        </w:pBdr>
        <w:rPr>
          <w:b/>
          <w:sz w:val="20"/>
        </w:rPr>
      </w:pPr>
    </w:p>
    <w:p w14:paraId="01BC9A86" w14:textId="77777777" w:rsidR="005253F0" w:rsidRPr="00C809DC" w:rsidRDefault="005253F0" w:rsidP="005253F0">
      <w:pPr>
        <w:pBdr>
          <w:bottom w:val="single" w:sz="4" w:space="1" w:color="auto"/>
        </w:pBdr>
        <w:rPr>
          <w:b/>
          <w:sz w:val="20"/>
        </w:rPr>
      </w:pPr>
      <w:r w:rsidRPr="00C809DC">
        <w:rPr>
          <w:b/>
          <w:sz w:val="20"/>
        </w:rPr>
        <w:t>Food Standards (A1120 – Agarose Ion Exchange Resin as a Processing Aid for Lactoferrin Production) Variation</w:t>
      </w:r>
    </w:p>
    <w:p w14:paraId="3B80BB48" w14:textId="77777777" w:rsidR="005253F0" w:rsidRPr="00A55221" w:rsidRDefault="005253F0" w:rsidP="00C00058">
      <w:pPr>
        <w:pStyle w:val="Title"/>
        <w:pBdr>
          <w:bottom w:val="single" w:sz="4" w:space="1" w:color="auto"/>
        </w:pBdr>
        <w:rPr>
          <w:b w:val="0"/>
          <w:bCs w:val="0"/>
          <w:szCs w:val="20"/>
          <w:lang w:val="en-GB"/>
        </w:rPr>
      </w:pPr>
    </w:p>
    <w:p w14:paraId="3542A152" w14:textId="77777777" w:rsidR="00C00058" w:rsidRDefault="00C00058" w:rsidP="00C00058">
      <w:pPr>
        <w:pStyle w:val="HR"/>
        <w:spacing w:before="0"/>
        <w:ind w:left="0" w:firstLine="0"/>
        <w:rPr>
          <w:b w:val="0"/>
          <w:sz w:val="20"/>
        </w:rPr>
      </w:pPr>
    </w:p>
    <w:p w14:paraId="549D8044" w14:textId="77777777" w:rsidR="005253F0" w:rsidRPr="00153CA2" w:rsidRDefault="005253F0" w:rsidP="00C00058">
      <w:pPr>
        <w:pStyle w:val="HR"/>
        <w:spacing w:before="0"/>
        <w:ind w:left="0" w:firstLine="0"/>
        <w:rPr>
          <w:b w:val="0"/>
          <w:sz w:val="20"/>
        </w:rPr>
      </w:pPr>
      <w:r w:rsidRPr="00153CA2">
        <w:rPr>
          <w:b w:val="0"/>
          <w:sz w:val="20"/>
        </w:rPr>
        <w:t xml:space="preserve">The Board of Food Standards Australia New Zealand gives notice of the making of this variation under section 92 of the </w:t>
      </w:r>
      <w:r w:rsidRPr="00153CA2">
        <w:rPr>
          <w:b w:val="0"/>
          <w:i/>
          <w:sz w:val="20"/>
        </w:rPr>
        <w:t>Food Standards Australia New Zealand Act 1991</w:t>
      </w:r>
      <w:r w:rsidRPr="00153CA2">
        <w:rPr>
          <w:b w:val="0"/>
          <w:sz w:val="20"/>
        </w:rPr>
        <w:t>.  The variation commences on the date specified in clause 3 of this variation.</w:t>
      </w:r>
    </w:p>
    <w:p w14:paraId="394E89A5" w14:textId="77777777" w:rsidR="005253F0" w:rsidRPr="008F2616" w:rsidRDefault="005253F0" w:rsidP="005253F0">
      <w:pPr>
        <w:rPr>
          <w:sz w:val="20"/>
        </w:rPr>
      </w:pPr>
    </w:p>
    <w:p w14:paraId="150349B9" w14:textId="77777777" w:rsidR="005253F0" w:rsidRPr="008F2616" w:rsidRDefault="005253F0" w:rsidP="005253F0">
      <w:pPr>
        <w:rPr>
          <w:sz w:val="20"/>
        </w:rPr>
      </w:pPr>
      <w:r w:rsidRPr="008F2616">
        <w:rPr>
          <w:sz w:val="20"/>
        </w:rPr>
        <w:t xml:space="preserve">Dated </w:t>
      </w:r>
      <w:r>
        <w:rPr>
          <w:sz w:val="20"/>
        </w:rPr>
        <w:t>[To be completed by Standards Management Officer]</w:t>
      </w:r>
    </w:p>
    <w:p w14:paraId="3A2FFC53" w14:textId="77777777" w:rsidR="005253F0" w:rsidRPr="008F2616" w:rsidRDefault="005253F0" w:rsidP="005253F0">
      <w:pPr>
        <w:rPr>
          <w:sz w:val="20"/>
        </w:rPr>
      </w:pPr>
    </w:p>
    <w:p w14:paraId="5DEFC5E1" w14:textId="77777777" w:rsidR="005253F0" w:rsidRDefault="005253F0" w:rsidP="005253F0">
      <w:pPr>
        <w:rPr>
          <w:sz w:val="20"/>
        </w:rPr>
      </w:pPr>
    </w:p>
    <w:p w14:paraId="52873EC0" w14:textId="77777777" w:rsidR="005253F0" w:rsidRDefault="005253F0" w:rsidP="005253F0">
      <w:pPr>
        <w:rPr>
          <w:sz w:val="20"/>
        </w:rPr>
      </w:pPr>
    </w:p>
    <w:p w14:paraId="297F28D0" w14:textId="77777777" w:rsidR="005253F0" w:rsidRPr="008F2616" w:rsidRDefault="005253F0" w:rsidP="005253F0">
      <w:pPr>
        <w:rPr>
          <w:sz w:val="20"/>
        </w:rPr>
      </w:pPr>
    </w:p>
    <w:p w14:paraId="0E4D7DF8" w14:textId="77777777" w:rsidR="005253F0" w:rsidRPr="008F2616" w:rsidRDefault="005253F0" w:rsidP="005253F0">
      <w:pPr>
        <w:rPr>
          <w:sz w:val="20"/>
        </w:rPr>
      </w:pPr>
    </w:p>
    <w:p w14:paraId="4DE654BB" w14:textId="77777777" w:rsidR="005253F0" w:rsidRPr="008F2616" w:rsidRDefault="005253F0" w:rsidP="005253F0">
      <w:pPr>
        <w:rPr>
          <w:sz w:val="20"/>
        </w:rPr>
      </w:pPr>
      <w:r w:rsidRPr="008F2616">
        <w:rPr>
          <w:sz w:val="20"/>
        </w:rPr>
        <w:t>Standards Management Officer</w:t>
      </w:r>
    </w:p>
    <w:p w14:paraId="184D6845" w14:textId="77777777" w:rsidR="005253F0" w:rsidRPr="008F2616" w:rsidRDefault="005253F0" w:rsidP="005253F0">
      <w:pPr>
        <w:rPr>
          <w:sz w:val="20"/>
        </w:rPr>
      </w:pPr>
      <w:r w:rsidRPr="008F2616">
        <w:rPr>
          <w:sz w:val="20"/>
        </w:rPr>
        <w:t>Delegate of the Board of Food Standards Australia New Zealand</w:t>
      </w:r>
    </w:p>
    <w:p w14:paraId="6CA5ECD7" w14:textId="77777777" w:rsidR="005253F0" w:rsidRDefault="005253F0" w:rsidP="005253F0">
      <w:pPr>
        <w:rPr>
          <w:sz w:val="20"/>
        </w:rPr>
      </w:pPr>
    </w:p>
    <w:p w14:paraId="347BE2C7" w14:textId="77777777" w:rsidR="005253F0" w:rsidRDefault="005253F0" w:rsidP="005253F0">
      <w:pPr>
        <w:rPr>
          <w:sz w:val="20"/>
        </w:rPr>
      </w:pPr>
    </w:p>
    <w:p w14:paraId="0FB7AAB6" w14:textId="77777777" w:rsidR="005253F0" w:rsidRDefault="005253F0" w:rsidP="005253F0">
      <w:pPr>
        <w:rPr>
          <w:sz w:val="20"/>
        </w:rPr>
      </w:pPr>
    </w:p>
    <w:p w14:paraId="141CC75C" w14:textId="77777777" w:rsidR="005253F0" w:rsidRDefault="005253F0" w:rsidP="005253F0">
      <w:pPr>
        <w:rPr>
          <w:sz w:val="20"/>
        </w:rPr>
      </w:pPr>
    </w:p>
    <w:p w14:paraId="2F18D396" w14:textId="77777777" w:rsidR="005253F0" w:rsidRDefault="005253F0" w:rsidP="005253F0">
      <w:pPr>
        <w:rPr>
          <w:sz w:val="20"/>
        </w:rPr>
      </w:pPr>
    </w:p>
    <w:p w14:paraId="667A000D" w14:textId="77777777" w:rsidR="005253F0" w:rsidRPr="00360C8F" w:rsidRDefault="005253F0" w:rsidP="005253F0">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7160D567" w14:textId="77777777" w:rsidR="005253F0" w:rsidRPr="00360C8F" w:rsidRDefault="005253F0" w:rsidP="005253F0">
      <w:pPr>
        <w:pBdr>
          <w:top w:val="single" w:sz="4" w:space="1" w:color="auto"/>
          <w:left w:val="single" w:sz="4" w:space="4" w:color="auto"/>
          <w:bottom w:val="single" w:sz="4" w:space="1" w:color="auto"/>
          <w:right w:val="single" w:sz="4" w:space="4" w:color="auto"/>
        </w:pBdr>
        <w:rPr>
          <w:sz w:val="20"/>
          <w:lang w:val="en-AU"/>
        </w:rPr>
      </w:pPr>
    </w:p>
    <w:p w14:paraId="2AE7B2BA" w14:textId="77777777" w:rsidR="005253F0" w:rsidRPr="00360C8F" w:rsidRDefault="005253F0" w:rsidP="005253F0">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15C0490A" w14:textId="77777777" w:rsidR="005253F0" w:rsidRDefault="005253F0" w:rsidP="005253F0">
      <w:pPr>
        <w:rPr>
          <w:sz w:val="20"/>
        </w:rPr>
      </w:pPr>
    </w:p>
    <w:p w14:paraId="0CBEB258" w14:textId="77777777" w:rsidR="005253F0" w:rsidRDefault="005253F0" w:rsidP="005253F0">
      <w:pPr>
        <w:widowControl/>
        <w:rPr>
          <w:sz w:val="20"/>
        </w:rPr>
      </w:pPr>
      <w:r>
        <w:rPr>
          <w:sz w:val="20"/>
        </w:rPr>
        <w:br w:type="page"/>
      </w:r>
    </w:p>
    <w:p w14:paraId="43E0EE10" w14:textId="77777777" w:rsidR="005253F0" w:rsidRPr="005F585D" w:rsidRDefault="005253F0" w:rsidP="005253F0">
      <w:pPr>
        <w:pStyle w:val="FSCDraftingitemheading"/>
      </w:pPr>
      <w:r w:rsidRPr="00D433B1">
        <w:lastRenderedPageBreak/>
        <w:t>1</w:t>
      </w:r>
      <w:r w:rsidRPr="00D433B1">
        <w:tab/>
        <w:t>Name</w:t>
      </w:r>
    </w:p>
    <w:p w14:paraId="2719ABB0" w14:textId="77777777" w:rsidR="005253F0" w:rsidRPr="00F618DF" w:rsidRDefault="005253F0" w:rsidP="005253F0">
      <w:pPr>
        <w:pStyle w:val="FSCDraftingitem"/>
      </w:pPr>
      <w:r w:rsidRPr="00DB170D">
        <w:t xml:space="preserve">This instrument is the </w:t>
      </w:r>
      <w:r w:rsidRPr="00792F7C">
        <w:rPr>
          <w:i/>
        </w:rPr>
        <w:t>Food Standards (</w:t>
      </w:r>
      <w:r w:rsidRPr="00471BF5">
        <w:rPr>
          <w:i/>
        </w:rPr>
        <w:t>A1120 – Agarose Ion Exchange Resin as a Processing Aid for Lactoferrin Production</w:t>
      </w:r>
      <w:r>
        <w:rPr>
          <w:i/>
        </w:rPr>
        <w:t xml:space="preserve">) </w:t>
      </w:r>
      <w:r w:rsidRPr="00792F7C">
        <w:rPr>
          <w:i/>
        </w:rPr>
        <w:t>Variation</w:t>
      </w:r>
      <w:r w:rsidRPr="00F618DF">
        <w:t>.</w:t>
      </w:r>
    </w:p>
    <w:p w14:paraId="1EDC4A8B" w14:textId="77777777" w:rsidR="005253F0" w:rsidRPr="00D433B1" w:rsidRDefault="005253F0" w:rsidP="005253F0">
      <w:pPr>
        <w:pStyle w:val="FSCDraftingitemheading"/>
      </w:pPr>
      <w:r w:rsidRPr="00D433B1">
        <w:t>2</w:t>
      </w:r>
      <w:r w:rsidRPr="00D433B1">
        <w:tab/>
        <w:t xml:space="preserve">Variation to </w:t>
      </w:r>
      <w:r>
        <w:t>s</w:t>
      </w:r>
      <w:r w:rsidRPr="00D433B1">
        <w:t>tandard</w:t>
      </w:r>
      <w:r>
        <w:t>s</w:t>
      </w:r>
      <w:r w:rsidRPr="00D433B1">
        <w:t xml:space="preserve"> in the </w:t>
      </w:r>
      <w:r w:rsidRPr="00792F7C">
        <w:t>Australia New Zealand Food Standards Code</w:t>
      </w:r>
    </w:p>
    <w:p w14:paraId="0424748A" w14:textId="4540B11C" w:rsidR="005253F0" w:rsidRDefault="005253F0" w:rsidP="005253F0">
      <w:pPr>
        <w:pStyle w:val="FSCDraftingitem"/>
      </w:pPr>
      <w:r>
        <w:t xml:space="preserve">The Schedule varies </w:t>
      </w:r>
      <w:r w:rsidR="00780263">
        <w:t>s</w:t>
      </w:r>
      <w:r>
        <w:t xml:space="preserve">tandards in the </w:t>
      </w:r>
      <w:r w:rsidRPr="00792F7C">
        <w:rPr>
          <w:i/>
        </w:rPr>
        <w:t>Australia New Zealand Food Standards Code</w:t>
      </w:r>
      <w:r>
        <w:t>.</w:t>
      </w:r>
    </w:p>
    <w:p w14:paraId="059794E6" w14:textId="77777777" w:rsidR="005253F0" w:rsidRPr="00D433B1" w:rsidRDefault="005253F0" w:rsidP="005253F0">
      <w:pPr>
        <w:pStyle w:val="FSCDraftingitemheading"/>
      </w:pPr>
      <w:r w:rsidRPr="00D433B1">
        <w:t>3</w:t>
      </w:r>
      <w:r w:rsidRPr="00D433B1">
        <w:tab/>
        <w:t>Commencement</w:t>
      </w:r>
    </w:p>
    <w:p w14:paraId="2337E8F7" w14:textId="77777777" w:rsidR="005253F0" w:rsidRDefault="005253F0" w:rsidP="005253F0">
      <w:pPr>
        <w:pStyle w:val="FSCDraftingitem"/>
      </w:pPr>
      <w:r>
        <w:t>The variation commenc</w:t>
      </w:r>
      <w:r w:rsidRPr="000055C4">
        <w:t>e</w:t>
      </w:r>
      <w:r>
        <w:t>s</w:t>
      </w:r>
      <w:r w:rsidRPr="000055C4">
        <w:t xml:space="preserve"> on</w:t>
      </w:r>
      <w:r>
        <w:t xml:space="preserve"> the date of gazettal.</w:t>
      </w:r>
    </w:p>
    <w:p w14:paraId="32F1020E" w14:textId="77777777" w:rsidR="005253F0" w:rsidRPr="00D433B1" w:rsidRDefault="005253F0" w:rsidP="005253F0">
      <w:pPr>
        <w:jc w:val="center"/>
        <w:rPr>
          <w:b/>
          <w:sz w:val="20"/>
        </w:rPr>
      </w:pPr>
      <w:r w:rsidRPr="00D433B1">
        <w:rPr>
          <w:b/>
          <w:sz w:val="20"/>
        </w:rPr>
        <w:t>Schedule</w:t>
      </w:r>
    </w:p>
    <w:p w14:paraId="62E8A102" w14:textId="77777777" w:rsidR="005253F0" w:rsidRDefault="005253F0" w:rsidP="005253F0">
      <w:pPr>
        <w:pStyle w:val="FSCDraftingitem"/>
      </w:pPr>
      <w:r w:rsidRPr="00A55221">
        <w:rPr>
          <w:b/>
        </w:rPr>
        <w:t>[1]</w:t>
      </w:r>
      <w:r w:rsidRPr="00A55221">
        <w:rPr>
          <w:b/>
        </w:rPr>
        <w:tab/>
        <w:t>Schedule 3</w:t>
      </w:r>
      <w:r w:rsidRPr="00D90338">
        <w:t xml:space="preserve"> is</w:t>
      </w:r>
      <w:r w:rsidRPr="00CC2E5B">
        <w:t xml:space="preserve"> varied by</w:t>
      </w:r>
      <w:r>
        <w:t xml:space="preserve"> </w:t>
      </w:r>
    </w:p>
    <w:p w14:paraId="1175C656" w14:textId="77777777" w:rsidR="005253F0" w:rsidRDefault="005253F0" w:rsidP="005253F0">
      <w:pPr>
        <w:pStyle w:val="FSCDraftingitem"/>
      </w:pPr>
      <w:r>
        <w:t>[1.1]</w:t>
      </w:r>
      <w:r>
        <w:tab/>
        <w:t>omitting the words “a</w:t>
      </w:r>
      <w:r w:rsidRPr="00592060">
        <w:t>garose ion exchange resin</w:t>
      </w:r>
      <w:r>
        <w:t>” from the table to subsection S3—2(2), substituting “amine a</w:t>
      </w:r>
      <w:r w:rsidRPr="00592060">
        <w:t>garose ion exchange resin</w:t>
      </w:r>
      <w:r>
        <w:t>”</w:t>
      </w:r>
    </w:p>
    <w:p w14:paraId="6E468757" w14:textId="77777777" w:rsidR="005253F0" w:rsidRDefault="005253F0" w:rsidP="005253F0">
      <w:pPr>
        <w:pStyle w:val="FSCDraftingitem"/>
      </w:pPr>
      <w:r>
        <w:t>[1.2]</w:t>
      </w:r>
      <w:r>
        <w:tab/>
        <w:t>inserting in the table to subsection S3—2(2) in alphabetical order</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5253F0" w:rsidRPr="00406023" w14:paraId="0C576A2A" w14:textId="77777777" w:rsidTr="001113F2">
        <w:trPr>
          <w:cantSplit/>
          <w:jc w:val="center"/>
        </w:trPr>
        <w:tc>
          <w:tcPr>
            <w:tcW w:w="4254" w:type="dxa"/>
          </w:tcPr>
          <w:p w14:paraId="22C2F3FE" w14:textId="1AC746B5" w:rsidR="005253F0" w:rsidRPr="00406023" w:rsidRDefault="005253F0" w:rsidP="001113F2">
            <w:pPr>
              <w:pStyle w:val="FSCtblMain"/>
              <w:rPr>
                <w:rFonts w:cs="Times New Roman"/>
              </w:rPr>
            </w:pPr>
            <w:r>
              <w:t>sulphonate a</w:t>
            </w:r>
            <w:r w:rsidRPr="00592060">
              <w:t>garose ion exchange resin</w:t>
            </w:r>
          </w:p>
        </w:tc>
        <w:tc>
          <w:tcPr>
            <w:tcW w:w="2550" w:type="dxa"/>
          </w:tcPr>
          <w:p w14:paraId="2C171398" w14:textId="77777777" w:rsidR="005253F0" w:rsidRPr="00406023" w:rsidRDefault="005253F0" w:rsidP="001113F2">
            <w:pPr>
              <w:pStyle w:val="FSCtblMain"/>
            </w:pPr>
            <w:r>
              <w:t>section S3—34</w:t>
            </w:r>
          </w:p>
        </w:tc>
      </w:tr>
    </w:tbl>
    <w:p w14:paraId="14736948" w14:textId="77777777" w:rsidR="005253F0" w:rsidRDefault="005253F0" w:rsidP="005253F0">
      <w:pPr>
        <w:pStyle w:val="FSCDraftingitem"/>
      </w:pPr>
      <w:r>
        <w:t>[1.3]</w:t>
      </w:r>
      <w:r>
        <w:tab/>
        <w:t>omitting the words “a</w:t>
      </w:r>
      <w:r w:rsidRPr="00592060">
        <w:t>garose ion exchange resin</w:t>
      </w:r>
      <w:r>
        <w:t>” from the heading to section S3—6, substituting “amine a</w:t>
      </w:r>
      <w:r w:rsidRPr="00592060">
        <w:t>garose ion exchange resin</w:t>
      </w:r>
      <w:r>
        <w:t>”</w:t>
      </w:r>
    </w:p>
    <w:p w14:paraId="2A9A9AFE" w14:textId="77777777" w:rsidR="005253F0" w:rsidRDefault="005253F0" w:rsidP="005253F0">
      <w:pPr>
        <w:pStyle w:val="FSCtMain"/>
      </w:pPr>
      <w:r>
        <w:t>[1.4]</w:t>
      </w:r>
      <w:r>
        <w:tab/>
        <w:t xml:space="preserve">inserting after section </w:t>
      </w:r>
      <w:r w:rsidRPr="001D1563">
        <w:t>S3—3</w:t>
      </w:r>
      <w:r>
        <w:t>3</w:t>
      </w:r>
    </w:p>
    <w:p w14:paraId="0838BFB8" w14:textId="77777777" w:rsidR="005253F0" w:rsidRPr="00580804" w:rsidRDefault="005253F0" w:rsidP="005253F0">
      <w:pPr>
        <w:pStyle w:val="FSCh5Section"/>
      </w:pPr>
      <w:r>
        <w:t>S3—34</w:t>
      </w:r>
      <w:r w:rsidRPr="001D1563">
        <w:tab/>
        <w:t>Specification</w:t>
      </w:r>
      <w:r>
        <w:t xml:space="preserve"> for sulphonate a</w:t>
      </w:r>
      <w:r w:rsidRPr="00592060">
        <w:t>garose ion exchange resin</w:t>
      </w:r>
    </w:p>
    <w:p w14:paraId="041FA73A" w14:textId="77777777" w:rsidR="005253F0" w:rsidRDefault="005253F0" w:rsidP="005253F0">
      <w:pPr>
        <w:pStyle w:val="FSCtMain"/>
      </w:pPr>
      <w:r>
        <w:tab/>
        <w:t>(1)</w:t>
      </w:r>
      <w:r>
        <w:tab/>
        <w:t>T</w:t>
      </w:r>
      <w:r w:rsidRPr="00580804">
        <w:t xml:space="preserve">his specification relates to agarose, cross-linked with epichlorohydrin and </w:t>
      </w:r>
      <w:r>
        <w:t xml:space="preserve">reacted with allyl glycidyl ether or propylene oxide, </w:t>
      </w:r>
      <w:r w:rsidRPr="00580804">
        <w:t xml:space="preserve">then derivatised with </w:t>
      </w:r>
      <w:r>
        <w:t>sulphonate</w:t>
      </w:r>
      <w:r w:rsidRPr="00580804">
        <w:t xml:space="preserve"> groups whereby the amount of epichlorohydrin plus </w:t>
      </w:r>
      <w:r>
        <w:t xml:space="preserve">allyl glycidyl ether or propylene oxide </w:t>
      </w:r>
      <w:r w:rsidRPr="00580804">
        <w:t>does not exceed 250% by weight of the starting quantity of agarose.</w:t>
      </w:r>
      <w:r>
        <w:t xml:space="preserve"> </w:t>
      </w:r>
    </w:p>
    <w:p w14:paraId="4D5F0415" w14:textId="77777777" w:rsidR="005253F0" w:rsidRDefault="005253F0" w:rsidP="005253F0">
      <w:pPr>
        <w:pStyle w:val="FSCtMain"/>
      </w:pPr>
      <w:r>
        <w:tab/>
        <w:t>(2)</w:t>
      </w:r>
      <w:r>
        <w:tab/>
      </w:r>
      <w:r w:rsidRPr="00580804">
        <w:t>When subjected to the extraction regime listed in the 21 CFR § 173.25(c)(4), but using dilute hydrochloric acid at pH 2 in place of 5% acetic acid, the ion exchange resin</w:t>
      </w:r>
      <w:r>
        <w:t>s</w:t>
      </w:r>
      <w:r w:rsidRPr="00580804">
        <w:t xml:space="preserve"> shall result in no more than 25 ppm of organic extractives.</w:t>
      </w:r>
    </w:p>
    <w:p w14:paraId="512C7351" w14:textId="77777777" w:rsidR="005253F0" w:rsidRDefault="005253F0" w:rsidP="005253F0">
      <w:pPr>
        <w:pStyle w:val="FSCDraftingitem"/>
        <w:tabs>
          <w:tab w:val="clear" w:pos="851"/>
          <w:tab w:val="left" w:pos="1134"/>
        </w:tabs>
      </w:pPr>
      <w:r>
        <w:rPr>
          <w:b/>
          <w:lang w:bidi="en-US"/>
        </w:rPr>
        <w:t>[2</w:t>
      </w:r>
      <w:r w:rsidRPr="00DA14FC">
        <w:rPr>
          <w:b/>
          <w:lang w:bidi="en-US"/>
        </w:rPr>
        <w:t>]</w:t>
      </w:r>
      <w:r w:rsidRPr="00DA14FC">
        <w:rPr>
          <w:b/>
          <w:lang w:bidi="en-US"/>
        </w:rPr>
        <w:tab/>
      </w:r>
      <w:r w:rsidRPr="00FC4576">
        <w:rPr>
          <w:b/>
          <w:lang w:bidi="en-US"/>
        </w:rPr>
        <w:t>Schedule 18</w:t>
      </w:r>
      <w:r w:rsidRPr="00FC4576">
        <w:rPr>
          <w:lang w:bidi="en-US"/>
        </w:rPr>
        <w:t xml:space="preserve"> </w:t>
      </w:r>
      <w:r w:rsidRPr="00CC2E5B">
        <w:rPr>
          <w:lang w:bidi="en-US"/>
        </w:rPr>
        <w:t xml:space="preserve">is varied </w:t>
      </w:r>
      <w:r w:rsidRPr="00FC4576">
        <w:rPr>
          <w:lang w:bidi="en-US"/>
        </w:rPr>
        <w:t>by</w:t>
      </w:r>
    </w:p>
    <w:p w14:paraId="3150D487" w14:textId="77777777" w:rsidR="005253F0" w:rsidRDefault="005253F0" w:rsidP="005253F0">
      <w:pPr>
        <w:pStyle w:val="FSCtMain"/>
        <w:ind w:left="1134" w:hanging="1134"/>
        <w:rPr>
          <w:lang w:bidi="en-US"/>
        </w:rPr>
      </w:pPr>
      <w:r>
        <w:rPr>
          <w:lang w:bidi="en-US"/>
        </w:rPr>
        <w:t>[2.1]</w:t>
      </w:r>
      <w:r>
        <w:rPr>
          <w:lang w:bidi="en-US"/>
        </w:rPr>
        <w:tab/>
        <w:t>omitting the definition of</w:t>
      </w:r>
      <w:r w:rsidRPr="00B23C8C">
        <w:rPr>
          <w:lang w:bidi="en-US"/>
        </w:rPr>
        <w:t xml:space="preserve"> </w:t>
      </w:r>
      <w:r>
        <w:rPr>
          <w:lang w:bidi="en-US"/>
        </w:rPr>
        <w:t>“</w:t>
      </w:r>
      <w:r w:rsidRPr="00A55221">
        <w:t>agarose ion exchange resin</w:t>
      </w:r>
      <w:r>
        <w:t>”</w:t>
      </w:r>
      <w:r w:rsidRPr="001D1563">
        <w:t xml:space="preserve"> </w:t>
      </w:r>
      <w:r>
        <w:rPr>
          <w:lang w:bidi="en-US"/>
        </w:rPr>
        <w:t xml:space="preserve">in subsection </w:t>
      </w:r>
      <w:r>
        <w:t>S18—9</w:t>
      </w:r>
      <w:r>
        <w:rPr>
          <w:lang w:bidi="en-US"/>
        </w:rPr>
        <w:t>(2)</w:t>
      </w:r>
    </w:p>
    <w:p w14:paraId="04F5FA51" w14:textId="77777777" w:rsidR="005253F0" w:rsidRDefault="005253F0" w:rsidP="005253F0">
      <w:pPr>
        <w:pStyle w:val="FSCtMain"/>
        <w:ind w:left="1134" w:hanging="1134"/>
        <w:rPr>
          <w:lang w:bidi="en-US"/>
        </w:rPr>
      </w:pPr>
      <w:r>
        <w:rPr>
          <w:lang w:bidi="en-US"/>
        </w:rPr>
        <w:t>[2.2]</w:t>
      </w:r>
      <w:r>
        <w:rPr>
          <w:lang w:bidi="en-US"/>
        </w:rPr>
        <w:tab/>
        <w:t xml:space="preserve">inserting in subsection </w:t>
      </w:r>
      <w:r>
        <w:t>S18—9</w:t>
      </w:r>
      <w:r>
        <w:rPr>
          <w:lang w:bidi="en-US"/>
        </w:rPr>
        <w:t>(2) in alphabetical order</w:t>
      </w:r>
    </w:p>
    <w:p w14:paraId="6B909C89" w14:textId="77777777" w:rsidR="005253F0" w:rsidRPr="001D1563" w:rsidRDefault="005253F0" w:rsidP="005253F0">
      <w:pPr>
        <w:pStyle w:val="FSCtDefn"/>
      </w:pPr>
      <w:r w:rsidRPr="00585C64">
        <w:rPr>
          <w:b/>
          <w:i/>
        </w:rPr>
        <w:t>amine</w:t>
      </w:r>
      <w:r>
        <w:t xml:space="preserve"> </w:t>
      </w:r>
      <w:r w:rsidRPr="00415045">
        <w:rPr>
          <w:b/>
          <w:i/>
        </w:rPr>
        <w:t>agarose ion exchange resin</w:t>
      </w:r>
      <w:r w:rsidRPr="001D1563">
        <w:rPr>
          <w:b/>
          <w:i/>
        </w:rPr>
        <w:t xml:space="preserve"> </w:t>
      </w:r>
      <w:r>
        <w:t xml:space="preserve">means </w:t>
      </w:r>
      <w:r w:rsidRPr="00415045">
        <w:t>agarose cross-linked and alkylated with epichlorohydrin and propylene oxide, then derivatised with tertiary amine groups whereby the amount of epichlorohydrin plus propylene oxide does not exceed 250% by weight of the starting amount of agarose</w:t>
      </w:r>
      <w:r>
        <w:t>.</w:t>
      </w:r>
    </w:p>
    <w:p w14:paraId="25D22CEE" w14:textId="77777777" w:rsidR="005253F0" w:rsidRDefault="005253F0" w:rsidP="005253F0">
      <w:pPr>
        <w:pStyle w:val="FSCtPara"/>
        <w:ind w:left="1701" w:hanging="1701"/>
      </w:pPr>
      <w:r>
        <w:tab/>
      </w:r>
      <w:r>
        <w:rPr>
          <w:b/>
          <w:i/>
        </w:rPr>
        <w:t>sulphonate</w:t>
      </w:r>
      <w:r>
        <w:t xml:space="preserve"> </w:t>
      </w:r>
      <w:r w:rsidRPr="00415045">
        <w:rPr>
          <w:b/>
          <w:i/>
        </w:rPr>
        <w:t>agarose ion exchange resin</w:t>
      </w:r>
      <w:r w:rsidRPr="001D1563">
        <w:rPr>
          <w:b/>
          <w:i/>
        </w:rPr>
        <w:t xml:space="preserve"> </w:t>
      </w:r>
      <w:r>
        <w:t xml:space="preserve">means </w:t>
      </w:r>
      <w:r w:rsidRPr="00415045">
        <w:t xml:space="preserve">agarose cross-linked with epichlorohydrin and </w:t>
      </w:r>
      <w:r>
        <w:t>reacted with allyl glycidyl ether or propylene oxide,</w:t>
      </w:r>
      <w:r w:rsidRPr="00415045">
        <w:t xml:space="preserve"> then derivatised with </w:t>
      </w:r>
      <w:r>
        <w:t>sulphonate</w:t>
      </w:r>
      <w:r w:rsidRPr="00415045">
        <w:t xml:space="preserve"> groups whereby the amount of epichlorohydrin plus </w:t>
      </w:r>
      <w:r>
        <w:t>allyl glycidyl ether</w:t>
      </w:r>
      <w:r w:rsidRPr="00415045">
        <w:t xml:space="preserve"> </w:t>
      </w:r>
      <w:r>
        <w:t xml:space="preserve">or propylene oxide </w:t>
      </w:r>
      <w:r w:rsidRPr="00415045">
        <w:t>does not exceed 250% by weight of the starting quantity of agarose</w:t>
      </w:r>
      <w:r>
        <w:t>.</w:t>
      </w:r>
    </w:p>
    <w:p w14:paraId="0B12755D" w14:textId="77777777" w:rsidR="005253F0" w:rsidRDefault="005253F0" w:rsidP="005253F0">
      <w:pPr>
        <w:pStyle w:val="FSCtMain"/>
        <w:ind w:left="1134" w:hanging="1134"/>
        <w:rPr>
          <w:lang w:bidi="en-US"/>
        </w:rPr>
      </w:pPr>
      <w:r>
        <w:rPr>
          <w:lang w:bidi="en-US"/>
        </w:rPr>
        <w:t>[2.3]</w:t>
      </w:r>
      <w:r>
        <w:rPr>
          <w:lang w:bidi="en-US"/>
        </w:rPr>
        <w:tab/>
        <w:t>omitting the words “</w:t>
      </w:r>
      <w:r w:rsidRPr="00592060">
        <w:t>Agarose ion exchange resin</w:t>
      </w:r>
      <w:r>
        <w:t>”</w:t>
      </w:r>
      <w:r>
        <w:rPr>
          <w:lang w:bidi="en-US"/>
        </w:rPr>
        <w:t xml:space="preserve"> in the table to </w:t>
      </w:r>
      <w:r>
        <w:t xml:space="preserve">subsection S18—9(3), substituting </w:t>
      </w:r>
      <w:r>
        <w:rPr>
          <w:lang w:bidi="en-US"/>
        </w:rPr>
        <w:t>“</w:t>
      </w:r>
      <w:r w:rsidRPr="00592060">
        <w:t>A</w:t>
      </w:r>
      <w:r>
        <w:t>mine a</w:t>
      </w:r>
      <w:r w:rsidRPr="00592060">
        <w:t>garose ion exchange resin</w:t>
      </w:r>
      <w:r>
        <w:t>”</w:t>
      </w:r>
    </w:p>
    <w:p w14:paraId="5E2D2E86" w14:textId="77777777" w:rsidR="005253F0" w:rsidRDefault="005253F0" w:rsidP="005253F0">
      <w:pPr>
        <w:pStyle w:val="FSCtMain"/>
        <w:ind w:left="1134" w:hanging="1134"/>
      </w:pPr>
      <w:r>
        <w:rPr>
          <w:lang w:bidi="en-US"/>
        </w:rPr>
        <w:t>[2.4]</w:t>
      </w:r>
      <w:r>
        <w:rPr>
          <w:lang w:bidi="en-US"/>
        </w:rPr>
        <w:tab/>
        <w:t xml:space="preserve">inserting in the table to </w:t>
      </w:r>
      <w:r>
        <w:t>subsection S18—9(3) in alphabetical order</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5253F0" w:rsidRPr="00592060" w14:paraId="2AB92007" w14:textId="77777777" w:rsidTr="001113F2">
        <w:trPr>
          <w:jc w:val="center"/>
        </w:trPr>
        <w:tc>
          <w:tcPr>
            <w:tcW w:w="3120" w:type="dxa"/>
          </w:tcPr>
          <w:p w14:paraId="065EBE4C" w14:textId="77777777" w:rsidR="005253F0" w:rsidRPr="00592060" w:rsidRDefault="005253F0" w:rsidP="001113F2">
            <w:pPr>
              <w:pStyle w:val="FSCtblMain"/>
            </w:pPr>
            <w:r>
              <w:t>Sulphonate a</w:t>
            </w:r>
            <w:r w:rsidRPr="00592060">
              <w:t>garose ion exchange resin</w:t>
            </w:r>
          </w:p>
        </w:tc>
        <w:tc>
          <w:tcPr>
            <w:tcW w:w="3603" w:type="dxa"/>
          </w:tcPr>
          <w:p w14:paraId="7BB7277F" w14:textId="77777777" w:rsidR="005253F0" w:rsidRPr="00592060" w:rsidRDefault="005253F0" w:rsidP="001113F2">
            <w:pPr>
              <w:pStyle w:val="FSCtblMain"/>
            </w:pPr>
            <w:r>
              <w:t>P</w:t>
            </w:r>
            <w:r w:rsidRPr="0051428E">
              <w:t>roduction of lactoferrin from bovine milk and milk-related products</w:t>
            </w:r>
          </w:p>
        </w:tc>
        <w:tc>
          <w:tcPr>
            <w:tcW w:w="2349" w:type="dxa"/>
          </w:tcPr>
          <w:p w14:paraId="3C7334B0" w14:textId="77777777" w:rsidR="005253F0" w:rsidRPr="00592060" w:rsidRDefault="005253F0" w:rsidP="001113F2">
            <w:pPr>
              <w:pStyle w:val="FSCtblMain"/>
            </w:pPr>
            <w:r w:rsidRPr="00592060">
              <w:t>GMP</w:t>
            </w:r>
          </w:p>
        </w:tc>
      </w:tr>
    </w:tbl>
    <w:p w14:paraId="1B0E6916" w14:textId="77777777" w:rsidR="005253F0" w:rsidRDefault="005253F0" w:rsidP="005253F0">
      <w:pPr>
        <w:pStyle w:val="HR"/>
        <w:rPr>
          <w:lang w:eastAsia="en-GB"/>
        </w:rPr>
      </w:pPr>
      <w:r w:rsidRPr="00972DE7">
        <w:rPr>
          <w:rFonts w:cs="Arial"/>
          <w:color w:val="00B0F0"/>
          <w:sz w:val="22"/>
          <w:szCs w:val="22"/>
        </w:rPr>
        <w:br w:type="page"/>
      </w:r>
    </w:p>
    <w:p w14:paraId="3425C380" w14:textId="295EC724" w:rsidR="005253F0" w:rsidRDefault="005253F0" w:rsidP="005253F0">
      <w:pPr>
        <w:pStyle w:val="Heading2"/>
        <w:ind w:left="0" w:firstLine="0"/>
      </w:pPr>
      <w:bookmarkStart w:id="136" w:name="_Toc442949570"/>
      <w:bookmarkStart w:id="137" w:name="_Toc447716535"/>
      <w:r w:rsidRPr="00932F14">
        <w:lastRenderedPageBreak/>
        <w:t xml:space="preserve">Attachment </w:t>
      </w:r>
      <w:r>
        <w:t>B –</w:t>
      </w:r>
      <w:r w:rsidR="00040CE5">
        <w:t xml:space="preserve"> </w:t>
      </w:r>
      <w:r>
        <w:t>Explanatory Statement</w:t>
      </w:r>
      <w:bookmarkEnd w:id="136"/>
      <w:bookmarkEnd w:id="137"/>
    </w:p>
    <w:p w14:paraId="27C9CCE9" w14:textId="77777777" w:rsidR="005253F0" w:rsidRPr="000576EB" w:rsidRDefault="005253F0" w:rsidP="005253F0">
      <w:pPr>
        <w:rPr>
          <w:b/>
          <w:lang w:val="en-AU" w:eastAsia="en-GB" w:bidi="ar-SA"/>
        </w:rPr>
      </w:pPr>
      <w:r w:rsidRPr="000576EB">
        <w:rPr>
          <w:b/>
          <w:lang w:val="en-AU" w:eastAsia="en-GB" w:bidi="ar-SA"/>
        </w:rPr>
        <w:t>1.</w:t>
      </w:r>
      <w:r w:rsidRPr="000576EB">
        <w:rPr>
          <w:b/>
          <w:lang w:val="en-AU" w:eastAsia="en-GB" w:bidi="ar-SA"/>
        </w:rPr>
        <w:tab/>
        <w:t>Authority</w:t>
      </w:r>
    </w:p>
    <w:p w14:paraId="03C6BE18" w14:textId="77777777" w:rsidR="005253F0" w:rsidRDefault="005253F0" w:rsidP="005253F0">
      <w:pPr>
        <w:rPr>
          <w:lang w:val="en-AU" w:eastAsia="en-GB" w:bidi="ar-SA"/>
        </w:rPr>
      </w:pPr>
    </w:p>
    <w:p w14:paraId="7A776213" w14:textId="77777777" w:rsidR="005253F0" w:rsidRPr="00D13E34" w:rsidRDefault="005253F0" w:rsidP="005253F0">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50FA7E6B" w14:textId="77777777" w:rsidR="005253F0" w:rsidRPr="00D13E34" w:rsidRDefault="005253F0" w:rsidP="005253F0">
      <w:pPr>
        <w:widowControl/>
        <w:autoSpaceDE w:val="0"/>
        <w:autoSpaceDN w:val="0"/>
        <w:adjustRightInd w:val="0"/>
        <w:rPr>
          <w:rFonts w:eastAsia="Calibri" w:cs="Arial"/>
          <w:bCs/>
          <w:szCs w:val="22"/>
          <w:lang w:val="en-AU" w:bidi="ar-SA"/>
        </w:rPr>
      </w:pPr>
    </w:p>
    <w:p w14:paraId="34D0B0F4" w14:textId="77777777" w:rsidR="005253F0" w:rsidRPr="00995385" w:rsidRDefault="005253F0" w:rsidP="005253F0">
      <w:pPr>
        <w:widowControl/>
        <w:autoSpaceDE w:val="0"/>
        <w:autoSpaceDN w:val="0"/>
        <w:adjustRightInd w:val="0"/>
        <w:rPr>
          <w:rFonts w:eastAsia="Calibri" w:cs="Arial"/>
          <w:bCs/>
          <w:szCs w:val="22"/>
          <w:lang w:val="en-AU" w:bidi="ar-SA"/>
        </w:rPr>
      </w:pPr>
      <w:r w:rsidRPr="00995385">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5215190" w14:textId="77777777" w:rsidR="005253F0" w:rsidRPr="00995385" w:rsidRDefault="005253F0" w:rsidP="005253F0">
      <w:pPr>
        <w:widowControl/>
        <w:autoSpaceDE w:val="0"/>
        <w:autoSpaceDN w:val="0"/>
        <w:adjustRightInd w:val="0"/>
        <w:rPr>
          <w:rFonts w:eastAsia="Calibri" w:cs="Arial"/>
          <w:bCs/>
          <w:szCs w:val="22"/>
          <w:lang w:val="en-AU" w:bidi="ar-SA"/>
        </w:rPr>
      </w:pPr>
    </w:p>
    <w:p w14:paraId="09839C68" w14:textId="28666881" w:rsidR="0029760B" w:rsidRDefault="005253F0" w:rsidP="005253F0">
      <w:pPr>
        <w:widowControl/>
        <w:autoSpaceDE w:val="0"/>
        <w:autoSpaceDN w:val="0"/>
        <w:adjustRightInd w:val="0"/>
        <w:rPr>
          <w:rFonts w:eastAsia="Calibri" w:cs="Arial"/>
          <w:bCs/>
          <w:szCs w:val="22"/>
          <w:lang w:val="en-AU" w:bidi="ar-SA"/>
        </w:rPr>
      </w:pPr>
      <w:r w:rsidRPr="00995385">
        <w:rPr>
          <w:rFonts w:eastAsia="Calibri" w:cs="Arial"/>
          <w:bCs/>
          <w:szCs w:val="22"/>
          <w:lang w:val="en-AU" w:bidi="ar-SA"/>
        </w:rPr>
        <w:t>FSANZ accepted Application A</w:t>
      </w:r>
      <w:r>
        <w:rPr>
          <w:rFonts w:eastAsia="Calibri" w:cs="Arial"/>
          <w:bCs/>
          <w:szCs w:val="22"/>
          <w:lang w:val="en-AU" w:bidi="ar-SA"/>
        </w:rPr>
        <w:t>1120</w:t>
      </w:r>
      <w:r w:rsidRPr="00995385">
        <w:rPr>
          <w:rFonts w:eastAsia="Calibri" w:cs="Arial"/>
          <w:bCs/>
          <w:szCs w:val="22"/>
          <w:lang w:val="en-AU" w:bidi="ar-SA"/>
        </w:rPr>
        <w:t xml:space="preserve"> which seeks to permit </w:t>
      </w:r>
      <w:r>
        <w:rPr>
          <w:rFonts w:eastAsia="Calibri" w:cs="Arial"/>
          <w:bCs/>
          <w:szCs w:val="22"/>
          <w:lang w:val="en-AU" w:bidi="ar-SA"/>
        </w:rPr>
        <w:t>an agarose ion exchange resin as a</w:t>
      </w:r>
      <w:r w:rsidRPr="00995385">
        <w:rPr>
          <w:rFonts w:eastAsia="Calibri" w:cs="Arial"/>
          <w:bCs/>
          <w:szCs w:val="22"/>
          <w:lang w:val="en-AU" w:bidi="ar-SA"/>
        </w:rPr>
        <w:t xml:space="preserve"> processing aid</w:t>
      </w:r>
      <w:r>
        <w:rPr>
          <w:rFonts w:eastAsia="Calibri" w:cs="Arial"/>
          <w:bCs/>
          <w:szCs w:val="22"/>
          <w:lang w:val="en-AU" w:bidi="ar-SA"/>
        </w:rPr>
        <w:t xml:space="preserve">. The resin will be used </w:t>
      </w:r>
      <w:r w:rsidRPr="00995385">
        <w:rPr>
          <w:rFonts w:eastAsia="Calibri" w:cs="Arial"/>
          <w:bCs/>
          <w:szCs w:val="22"/>
          <w:lang w:val="en-AU" w:bidi="ar-SA"/>
        </w:rPr>
        <w:t xml:space="preserve">in the production of </w:t>
      </w:r>
      <w:r>
        <w:rPr>
          <w:rFonts w:eastAsia="Calibri" w:cs="Arial"/>
          <w:bCs/>
          <w:szCs w:val="22"/>
          <w:lang w:val="en-AU" w:bidi="ar-SA"/>
        </w:rPr>
        <w:t xml:space="preserve">high purity lactoferrin from bovine milk and milk-related products. </w:t>
      </w:r>
      <w:r w:rsidRPr="00995385">
        <w:rPr>
          <w:rFonts w:eastAsia="Calibri" w:cs="Arial"/>
          <w:bCs/>
          <w:szCs w:val="22"/>
          <w:lang w:val="en-AU" w:bidi="ar-SA"/>
        </w:rPr>
        <w:t xml:space="preserve">The Authority considered the Application in accordance with Division 1 of Part 3 and has prepared a draft </w:t>
      </w:r>
      <w:r>
        <w:rPr>
          <w:rFonts w:eastAsia="Calibri" w:cs="Arial"/>
          <w:bCs/>
          <w:szCs w:val="22"/>
          <w:lang w:val="en-AU" w:bidi="ar-SA"/>
        </w:rPr>
        <w:t>variation to the Code</w:t>
      </w:r>
      <w:r w:rsidRPr="00995385">
        <w:rPr>
          <w:rFonts w:eastAsia="Calibri" w:cs="Arial"/>
          <w:bCs/>
          <w:szCs w:val="22"/>
          <w:lang w:val="en-AU" w:bidi="ar-SA"/>
        </w:rPr>
        <w:t>.</w:t>
      </w:r>
    </w:p>
    <w:p w14:paraId="04765C53" w14:textId="77777777" w:rsidR="0029760B" w:rsidRDefault="0029760B" w:rsidP="005253F0">
      <w:pPr>
        <w:widowControl/>
        <w:autoSpaceDE w:val="0"/>
        <w:autoSpaceDN w:val="0"/>
        <w:adjustRightInd w:val="0"/>
        <w:rPr>
          <w:rFonts w:eastAsia="Calibri" w:cs="Arial"/>
          <w:bCs/>
          <w:szCs w:val="22"/>
          <w:lang w:val="en-AU" w:bidi="ar-SA"/>
        </w:rPr>
      </w:pPr>
    </w:p>
    <w:p w14:paraId="4BC0A0F0" w14:textId="77777777" w:rsidR="0029760B" w:rsidRPr="00D13E34" w:rsidRDefault="0029760B" w:rsidP="0029760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37EAE749" w14:textId="77777777" w:rsidR="0029760B" w:rsidRPr="00D13E34" w:rsidRDefault="0029760B" w:rsidP="0029760B">
      <w:pPr>
        <w:widowControl/>
        <w:autoSpaceDE w:val="0"/>
        <w:autoSpaceDN w:val="0"/>
        <w:adjustRightInd w:val="0"/>
        <w:rPr>
          <w:rFonts w:eastAsia="Calibri" w:cs="Arial"/>
          <w:bCs/>
          <w:szCs w:val="22"/>
          <w:lang w:val="en-AU" w:bidi="ar-SA"/>
        </w:rPr>
      </w:pPr>
    </w:p>
    <w:p w14:paraId="49B7BC07" w14:textId="77777777" w:rsidR="0029760B" w:rsidRPr="00D13E34" w:rsidRDefault="0029760B" w:rsidP="0029760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62DB2D75" w14:textId="77777777" w:rsidR="005253F0" w:rsidRPr="00D13E34" w:rsidRDefault="005253F0" w:rsidP="005253F0">
      <w:pPr>
        <w:widowControl/>
        <w:autoSpaceDE w:val="0"/>
        <w:autoSpaceDN w:val="0"/>
        <w:adjustRightInd w:val="0"/>
        <w:rPr>
          <w:rFonts w:eastAsia="Calibri" w:cs="Arial"/>
          <w:bCs/>
          <w:szCs w:val="22"/>
          <w:lang w:val="en-AU" w:bidi="ar-SA"/>
        </w:rPr>
      </w:pPr>
    </w:p>
    <w:p w14:paraId="0D6BCFE0" w14:textId="77777777" w:rsidR="005253F0" w:rsidRDefault="005253F0" w:rsidP="005253F0">
      <w:pPr>
        <w:rPr>
          <w:b/>
          <w:lang w:val="en-AU" w:eastAsia="en-GB" w:bidi="ar-SA"/>
        </w:rPr>
      </w:pPr>
      <w:r>
        <w:rPr>
          <w:b/>
          <w:lang w:val="en-AU" w:eastAsia="en-GB" w:bidi="ar-SA"/>
        </w:rPr>
        <w:t>2.</w:t>
      </w:r>
      <w:r>
        <w:rPr>
          <w:b/>
          <w:lang w:val="en-AU" w:eastAsia="en-GB" w:bidi="ar-SA"/>
        </w:rPr>
        <w:tab/>
        <w:t xml:space="preserve">Purpose </w:t>
      </w:r>
    </w:p>
    <w:p w14:paraId="7C128D34" w14:textId="77777777" w:rsidR="005253F0" w:rsidRDefault="005253F0" w:rsidP="005253F0">
      <w:pPr>
        <w:rPr>
          <w:lang w:val="en-AU" w:eastAsia="en-GB" w:bidi="ar-SA"/>
        </w:rPr>
      </w:pPr>
    </w:p>
    <w:p w14:paraId="6EBFF302" w14:textId="1FE64993" w:rsidR="005253F0" w:rsidRDefault="005253F0" w:rsidP="005253F0">
      <w:r>
        <w:rPr>
          <w:color w:val="000000" w:themeColor="text1"/>
        </w:rPr>
        <w:t xml:space="preserve">Ion exchange resins used in processing and manufacturing food are considered to be processing aids. Only those processing aids listed in Schedule </w:t>
      </w:r>
      <w:r>
        <w:t xml:space="preserve">18 </w:t>
      </w:r>
      <w:r w:rsidR="00F42BEF">
        <w:t xml:space="preserve">of the Code </w:t>
      </w:r>
      <w:r>
        <w:t>are permitted to be used in producing food sold in Australia and New Zealand.</w:t>
      </w:r>
      <w:r w:rsidRPr="0082591D">
        <w:t xml:space="preserve"> </w:t>
      </w:r>
      <w:r>
        <w:rPr>
          <w:lang w:val="en-AU" w:eastAsia="en-GB" w:bidi="ar-SA"/>
        </w:rPr>
        <w:t xml:space="preserve">The Authority has proposed that the agarose ion exchange resin </w:t>
      </w:r>
      <w:r w:rsidRPr="00345928">
        <w:t>is permitted as a processing aid</w:t>
      </w:r>
      <w:r>
        <w:rPr>
          <w:lang w:val="en-AU" w:eastAsia="en-GB" w:bidi="ar-SA"/>
        </w:rPr>
        <w:t xml:space="preserve"> for lactoferrin production </w:t>
      </w:r>
      <w:r>
        <w:t>by adding this resin to</w:t>
      </w:r>
      <w:r w:rsidRPr="00345928">
        <w:t xml:space="preserve"> the </w:t>
      </w:r>
      <w:r>
        <w:t>t</w:t>
      </w:r>
      <w:r w:rsidRPr="00345928">
        <w:t>able to subsection S18––</w:t>
      </w:r>
      <w:r>
        <w:t>9</w:t>
      </w:r>
      <w:r w:rsidRPr="00345928">
        <w:t>(</w:t>
      </w:r>
      <w:r>
        <w:t>3</w:t>
      </w:r>
      <w:r w:rsidRPr="00345928">
        <w:t>) in Schedule 18.</w:t>
      </w:r>
      <w:r>
        <w:t xml:space="preserve"> </w:t>
      </w:r>
    </w:p>
    <w:p w14:paraId="54DA7BF3" w14:textId="77777777" w:rsidR="005253F0" w:rsidRDefault="005253F0" w:rsidP="005253F0"/>
    <w:p w14:paraId="5CD20C97" w14:textId="27B9AA9E" w:rsidR="005253F0" w:rsidRPr="00345928" w:rsidRDefault="005253F0" w:rsidP="005253F0">
      <w:r>
        <w:t xml:space="preserve">Permissions for processing aids are also linked to their specification for identity and purity, provided in Schedule 3 of the Code. Since there are no specifications for the agarose ion exchange resin for lactoferrin production in any of the monographs in Schedule 3 </w:t>
      </w:r>
      <w:r w:rsidRPr="008F0A02">
        <w:rPr>
          <w:lang w:val="en-AU" w:eastAsia="en-GB" w:bidi="ar-SA"/>
        </w:rPr>
        <w:t>(</w:t>
      </w:r>
      <w:r>
        <w:rPr>
          <w:lang w:val="en-AU" w:eastAsia="en-GB" w:bidi="ar-SA"/>
        </w:rPr>
        <w:t xml:space="preserve">subsections </w:t>
      </w:r>
      <w:r w:rsidRPr="008F0A02">
        <w:rPr>
          <w:lang w:val="en-AU" w:eastAsia="en-GB" w:bidi="ar-SA"/>
        </w:rPr>
        <w:t>S3</w:t>
      </w:r>
      <w:r>
        <w:rPr>
          <w:lang w:val="en-AU" w:eastAsia="en-GB" w:bidi="ar-SA"/>
        </w:rPr>
        <w:t xml:space="preserve">—2 </w:t>
      </w:r>
      <w:r w:rsidRPr="008F0A02">
        <w:rPr>
          <w:lang w:val="en-AU" w:eastAsia="en-GB" w:bidi="ar-SA"/>
        </w:rPr>
        <w:t>and S3</w:t>
      </w:r>
      <w:r>
        <w:rPr>
          <w:lang w:val="en-AU" w:eastAsia="en-GB" w:bidi="ar-SA"/>
        </w:rPr>
        <w:t>—3)</w:t>
      </w:r>
      <w:r w:rsidRPr="008F0A02">
        <w:rPr>
          <w:lang w:val="en-AU" w:eastAsia="en-GB" w:bidi="ar-SA"/>
        </w:rPr>
        <w:t>,</w:t>
      </w:r>
      <w:r>
        <w:rPr>
          <w:lang w:val="en-AU" w:eastAsia="en-GB" w:bidi="ar-SA"/>
        </w:rPr>
        <w:t xml:space="preserve"> a new specification will be written into Schedule 3. </w:t>
      </w:r>
    </w:p>
    <w:p w14:paraId="5C1BA688" w14:textId="77777777" w:rsidR="00780263" w:rsidRDefault="00780263" w:rsidP="005253F0">
      <w:pPr>
        <w:rPr>
          <w:lang w:val="en-AU" w:eastAsia="en-GB" w:bidi="ar-SA"/>
        </w:rPr>
      </w:pPr>
    </w:p>
    <w:p w14:paraId="26103842" w14:textId="77777777" w:rsidR="005253F0" w:rsidRPr="000576EB" w:rsidRDefault="005253F0" w:rsidP="005253F0">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74AF020" w14:textId="77777777" w:rsidR="005253F0" w:rsidRDefault="005253F0" w:rsidP="005253F0">
      <w:pPr>
        <w:rPr>
          <w:lang w:val="en-AU" w:eastAsia="en-GB" w:bidi="ar-SA"/>
        </w:rPr>
      </w:pPr>
    </w:p>
    <w:p w14:paraId="70EAF126" w14:textId="77777777" w:rsidR="005253F0" w:rsidRPr="002A13BC" w:rsidRDefault="005253F0" w:rsidP="005253F0">
      <w:pPr>
        <w:widowControl/>
        <w:autoSpaceDE w:val="0"/>
        <w:autoSpaceDN w:val="0"/>
        <w:adjustRightInd w:val="0"/>
        <w:rPr>
          <w:rFonts w:eastAsia="Calibri" w:cs="Arial"/>
          <w:color w:val="000000"/>
          <w:szCs w:val="22"/>
          <w:lang w:bidi="ar-SA"/>
        </w:rPr>
      </w:pPr>
      <w:r w:rsidRPr="002A13BC">
        <w:rPr>
          <w:rFonts w:eastAsia="Calibri" w:cs="Arial"/>
          <w:bCs/>
          <w:color w:val="000000"/>
          <w:szCs w:val="22"/>
          <w:lang w:val="en-AU" w:bidi="ar-SA"/>
        </w:rPr>
        <w:t xml:space="preserve">The approved draft variation </w:t>
      </w:r>
      <w:r w:rsidRPr="002A13BC">
        <w:rPr>
          <w:rFonts w:eastAsia="Calibri" w:cs="Arial"/>
          <w:color w:val="000000"/>
          <w:szCs w:val="22"/>
          <w:lang w:bidi="ar-SA"/>
        </w:rPr>
        <w:t>incorporates</w:t>
      </w:r>
      <w:r>
        <w:rPr>
          <w:rFonts w:eastAsia="Calibri" w:cs="Arial"/>
          <w:color w:val="000000"/>
          <w:szCs w:val="22"/>
          <w:lang w:bidi="ar-SA"/>
        </w:rPr>
        <w:t xml:space="preserve"> a</w:t>
      </w:r>
      <w:r w:rsidRPr="002A13BC">
        <w:rPr>
          <w:rFonts w:eastAsia="Calibri" w:cs="Arial"/>
          <w:color w:val="000000"/>
          <w:szCs w:val="22"/>
          <w:lang w:bidi="ar-SA"/>
        </w:rPr>
        <w:t xml:space="preserve"> </w:t>
      </w:r>
      <w:r>
        <w:rPr>
          <w:rFonts w:eastAsia="Calibri" w:cs="Arial"/>
          <w:color w:val="000000"/>
          <w:szCs w:val="22"/>
          <w:lang w:bidi="ar-SA"/>
        </w:rPr>
        <w:t>specification</w:t>
      </w:r>
      <w:r w:rsidRPr="002A13BC">
        <w:rPr>
          <w:rFonts w:eastAsia="Calibri" w:cs="Arial"/>
          <w:color w:val="000000"/>
          <w:szCs w:val="22"/>
          <w:lang w:bidi="ar-SA"/>
        </w:rPr>
        <w:t xml:space="preserve"> by reference to </w:t>
      </w:r>
      <w:r>
        <w:rPr>
          <w:rFonts w:eastAsia="Calibri" w:cs="Arial"/>
          <w:color w:val="000000"/>
          <w:szCs w:val="22"/>
          <w:lang w:bidi="ar-SA"/>
        </w:rPr>
        <w:t>a specific document</w:t>
      </w:r>
      <w:r w:rsidRPr="002A13BC">
        <w:rPr>
          <w:rFonts w:eastAsia="Calibri" w:cs="Arial"/>
          <w:color w:val="000000"/>
          <w:szCs w:val="22"/>
          <w:lang w:bidi="ar-SA"/>
        </w:rPr>
        <w:t xml:space="preserve"> in force or existing at the commencement of the variation.</w:t>
      </w:r>
    </w:p>
    <w:p w14:paraId="00322828" w14:textId="77777777" w:rsidR="005253F0" w:rsidRPr="002A13BC" w:rsidRDefault="005253F0" w:rsidP="005253F0">
      <w:pPr>
        <w:widowControl/>
        <w:autoSpaceDE w:val="0"/>
        <w:autoSpaceDN w:val="0"/>
        <w:adjustRightInd w:val="0"/>
        <w:rPr>
          <w:rFonts w:eastAsia="Calibri" w:cs="Arial"/>
          <w:color w:val="000000"/>
          <w:szCs w:val="22"/>
          <w:lang w:bidi="ar-SA"/>
        </w:rPr>
      </w:pPr>
    </w:p>
    <w:p w14:paraId="1F3B48D8" w14:textId="77777777" w:rsidR="005253F0" w:rsidRPr="002A13BC" w:rsidRDefault="005253F0" w:rsidP="005253F0">
      <w:pPr>
        <w:widowControl/>
        <w:autoSpaceDE w:val="0"/>
        <w:autoSpaceDN w:val="0"/>
        <w:adjustRightInd w:val="0"/>
        <w:rPr>
          <w:rFonts w:eastAsia="Calibri" w:cs="Arial"/>
          <w:color w:val="000000"/>
          <w:szCs w:val="22"/>
          <w:lang w:bidi="ar-SA"/>
        </w:rPr>
      </w:pPr>
      <w:r>
        <w:rPr>
          <w:rFonts w:eastAsia="Calibri" w:cs="Arial"/>
          <w:bCs/>
          <w:color w:val="000000"/>
          <w:szCs w:val="22"/>
          <w:lang w:val="en-AU" w:bidi="ar-SA"/>
        </w:rPr>
        <w:t xml:space="preserve">The incorporated specification is an </w:t>
      </w:r>
      <w:r w:rsidRPr="00580804">
        <w:t xml:space="preserve">extraction regime </w:t>
      </w:r>
      <w:r>
        <w:t>described</w:t>
      </w:r>
      <w:r w:rsidRPr="002A13BC">
        <w:rPr>
          <w:rFonts w:eastAsia="Calibri" w:cs="Arial"/>
          <w:bCs/>
          <w:color w:val="000000"/>
          <w:szCs w:val="22"/>
          <w:lang w:val="en-AU" w:bidi="ar-SA"/>
        </w:rPr>
        <w:t xml:space="preserve"> in the </w:t>
      </w:r>
      <w:r>
        <w:rPr>
          <w:rFonts w:eastAsia="Calibri" w:cs="Arial"/>
          <w:bCs/>
          <w:color w:val="000000"/>
          <w:szCs w:val="22"/>
          <w:lang w:val="en-AU" w:bidi="ar-SA"/>
        </w:rPr>
        <w:t>2014 compilation of the United States Code of Federal Regulation. The latter is</w:t>
      </w:r>
      <w:r w:rsidRPr="002A13BC">
        <w:rPr>
          <w:rFonts w:eastAsia="Calibri" w:cs="Arial"/>
          <w:color w:val="000000"/>
          <w:szCs w:val="22"/>
          <w:lang w:bidi="ar-SA"/>
        </w:rPr>
        <w:t xml:space="preserve"> referred to in order to provide technical detail</w:t>
      </w:r>
      <w:r w:rsidRPr="002A13BC">
        <w:rPr>
          <w:rFonts w:eastAsia="Calibri" w:cs="Arial"/>
          <w:bCs/>
          <w:color w:val="000000"/>
          <w:szCs w:val="22"/>
          <w:lang w:val="en-AU" w:bidi="ar-SA"/>
        </w:rPr>
        <w:t xml:space="preserve"> </w:t>
      </w:r>
      <w:r>
        <w:rPr>
          <w:rFonts w:eastAsia="Calibri" w:cs="Arial"/>
          <w:bCs/>
          <w:color w:val="000000"/>
          <w:szCs w:val="22"/>
          <w:lang w:val="en-AU" w:bidi="ar-SA"/>
        </w:rPr>
        <w:t xml:space="preserve">required </w:t>
      </w:r>
      <w:r w:rsidRPr="002A13BC">
        <w:rPr>
          <w:rFonts w:eastAsia="Calibri" w:cs="Arial"/>
          <w:color w:val="000000"/>
          <w:szCs w:val="22"/>
          <w:lang w:bidi="ar-SA"/>
        </w:rPr>
        <w:t xml:space="preserve">to support the provisions of the Code. </w:t>
      </w:r>
      <w:r>
        <w:rPr>
          <w:rFonts w:eastAsia="Calibri" w:cs="Arial"/>
          <w:color w:val="000000"/>
          <w:szCs w:val="22"/>
          <w:lang w:bidi="ar-SA"/>
        </w:rPr>
        <w:t xml:space="preserve">This reference </w:t>
      </w:r>
      <w:r w:rsidRPr="002A13BC">
        <w:rPr>
          <w:rFonts w:eastAsia="Calibri" w:cs="Arial"/>
          <w:color w:val="000000"/>
          <w:szCs w:val="22"/>
          <w:lang w:bidi="ar-SA"/>
        </w:rPr>
        <w:t xml:space="preserve">by incorporation </w:t>
      </w:r>
      <w:r>
        <w:rPr>
          <w:rFonts w:eastAsia="Calibri" w:cs="Arial"/>
          <w:color w:val="000000"/>
          <w:szCs w:val="22"/>
          <w:lang w:bidi="ar-SA"/>
        </w:rPr>
        <w:t>is</w:t>
      </w:r>
      <w:r w:rsidRPr="002A13BC">
        <w:rPr>
          <w:rFonts w:eastAsia="Calibri" w:cs="Arial"/>
          <w:color w:val="000000"/>
          <w:szCs w:val="22"/>
          <w:lang w:bidi="ar-SA"/>
        </w:rPr>
        <w:t xml:space="preserve"> consistent with the current</w:t>
      </w:r>
      <w:r w:rsidRPr="002A13BC">
        <w:rPr>
          <w:rFonts w:eastAsia="Calibri" w:cs="Arial"/>
          <w:bCs/>
          <w:color w:val="000000"/>
          <w:szCs w:val="22"/>
          <w:lang w:val="en-AU" w:bidi="ar-SA"/>
        </w:rPr>
        <w:t xml:space="preserve"> </w:t>
      </w:r>
      <w:r w:rsidRPr="002A13BC">
        <w:rPr>
          <w:rFonts w:eastAsia="Calibri" w:cs="Arial"/>
          <w:color w:val="000000"/>
          <w:szCs w:val="22"/>
          <w:lang w:bidi="ar-SA"/>
        </w:rPr>
        <w:t xml:space="preserve">practice in the Code, particularly </w:t>
      </w:r>
      <w:r w:rsidRPr="002A13BC">
        <w:rPr>
          <w:rFonts w:eastAsia="Calibri" w:cs="Arial"/>
          <w:bCs/>
          <w:color w:val="000000"/>
          <w:szCs w:val="22"/>
          <w:lang w:val="en-AU" w:bidi="ar-SA"/>
        </w:rPr>
        <w:t xml:space="preserve">Schedule 3 which itself already </w:t>
      </w:r>
      <w:r w:rsidRPr="002A13BC">
        <w:rPr>
          <w:rFonts w:eastAsia="Calibri" w:cs="Arial"/>
          <w:color w:val="000000"/>
          <w:szCs w:val="22"/>
          <w:lang w:bidi="ar-SA"/>
        </w:rPr>
        <w:t xml:space="preserve">incorporates </w:t>
      </w:r>
      <w:r>
        <w:rPr>
          <w:rFonts w:eastAsia="Calibri" w:cs="Arial"/>
          <w:color w:val="000000"/>
          <w:szCs w:val="22"/>
          <w:lang w:bidi="ar-SA"/>
        </w:rPr>
        <w:t>the same document</w:t>
      </w:r>
      <w:r>
        <w:rPr>
          <w:rFonts w:eastAsia="Calibri" w:cs="Arial"/>
          <w:bCs/>
          <w:color w:val="000000"/>
          <w:szCs w:val="22"/>
          <w:lang w:val="en-AU" w:bidi="ar-SA"/>
        </w:rPr>
        <w:t xml:space="preserve"> </w:t>
      </w:r>
      <w:r w:rsidRPr="002A13BC">
        <w:rPr>
          <w:rFonts w:eastAsia="Calibri" w:cs="Arial"/>
          <w:color w:val="000000"/>
          <w:szCs w:val="22"/>
          <w:lang w:bidi="ar-SA"/>
        </w:rPr>
        <w:t>by reference</w:t>
      </w:r>
      <w:r w:rsidRPr="002A13BC">
        <w:rPr>
          <w:rFonts w:eastAsia="Calibri" w:cs="Arial"/>
          <w:bCs/>
          <w:color w:val="000000"/>
          <w:szCs w:val="22"/>
          <w:lang w:val="en-AU" w:bidi="ar-SA"/>
        </w:rPr>
        <w:t>.</w:t>
      </w:r>
    </w:p>
    <w:p w14:paraId="406656CB" w14:textId="77777777" w:rsidR="005253F0" w:rsidRDefault="005253F0" w:rsidP="005253F0">
      <w:pPr>
        <w:widowControl/>
        <w:autoSpaceDE w:val="0"/>
        <w:autoSpaceDN w:val="0"/>
        <w:adjustRightInd w:val="0"/>
        <w:rPr>
          <w:lang w:val="en-AU" w:eastAsia="en-GB" w:bidi="ar-SA"/>
        </w:rPr>
      </w:pPr>
    </w:p>
    <w:p w14:paraId="686A75B7" w14:textId="77777777" w:rsidR="00C00058" w:rsidRDefault="00C00058" w:rsidP="005253F0">
      <w:pPr>
        <w:rPr>
          <w:b/>
          <w:lang w:val="en-AU" w:eastAsia="en-GB" w:bidi="ar-SA"/>
        </w:rPr>
      </w:pPr>
      <w:r>
        <w:rPr>
          <w:b/>
          <w:lang w:val="en-AU" w:eastAsia="en-GB" w:bidi="ar-SA"/>
        </w:rPr>
        <w:br w:type="page"/>
      </w:r>
    </w:p>
    <w:p w14:paraId="311C872F" w14:textId="18C21348" w:rsidR="005253F0" w:rsidRPr="000576EB" w:rsidRDefault="005253F0" w:rsidP="005253F0">
      <w:pPr>
        <w:rPr>
          <w:b/>
          <w:lang w:val="en-AU" w:eastAsia="en-GB" w:bidi="ar-SA"/>
        </w:rPr>
      </w:pPr>
      <w:r w:rsidRPr="000576EB">
        <w:rPr>
          <w:b/>
          <w:lang w:val="en-AU" w:eastAsia="en-GB" w:bidi="ar-SA"/>
        </w:rPr>
        <w:lastRenderedPageBreak/>
        <w:t>4.</w:t>
      </w:r>
      <w:r w:rsidRPr="000576EB">
        <w:rPr>
          <w:b/>
          <w:lang w:val="en-AU" w:eastAsia="en-GB" w:bidi="ar-SA"/>
        </w:rPr>
        <w:tab/>
        <w:t>Consultation</w:t>
      </w:r>
    </w:p>
    <w:p w14:paraId="2E7ADCF5" w14:textId="77777777" w:rsidR="005253F0" w:rsidRDefault="005253F0" w:rsidP="005253F0">
      <w:pPr>
        <w:rPr>
          <w:lang w:val="en-AU" w:eastAsia="en-GB" w:bidi="ar-SA"/>
        </w:rPr>
      </w:pPr>
    </w:p>
    <w:p w14:paraId="3A7B7666" w14:textId="7506C4EA" w:rsidR="005253F0" w:rsidRPr="00E967A2" w:rsidRDefault="005253F0" w:rsidP="005253F0">
      <w:pPr>
        <w:rPr>
          <w:lang w:val="en-AU"/>
        </w:rPr>
      </w:pPr>
      <w:r w:rsidRPr="00F634A1">
        <w:rPr>
          <w:szCs w:val="22"/>
        </w:rPr>
        <w:t>In accordanc</w:t>
      </w:r>
      <w:r>
        <w:rPr>
          <w:szCs w:val="22"/>
        </w:rPr>
        <w:t xml:space="preserve">e with the procedure in Division 1 </w:t>
      </w:r>
      <w:r w:rsidRPr="00F634A1">
        <w:rPr>
          <w:szCs w:val="22"/>
        </w:rPr>
        <w:t xml:space="preserve">of Part </w:t>
      </w:r>
      <w:r>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Pr>
          <w:szCs w:val="22"/>
        </w:rPr>
        <w:t>Application A1120</w:t>
      </w:r>
      <w:r w:rsidRPr="00D06616">
        <w:rPr>
          <w:color w:val="FF0000"/>
          <w:szCs w:val="22"/>
        </w:rPr>
        <w:t xml:space="preserve"> </w:t>
      </w:r>
      <w:r w:rsidRPr="00345928">
        <w:rPr>
          <w:szCs w:val="22"/>
        </w:rPr>
        <w:t>include</w:t>
      </w:r>
      <w:r w:rsidR="000E02F3">
        <w:rPr>
          <w:szCs w:val="22"/>
        </w:rPr>
        <w:t>d</w:t>
      </w:r>
      <w:r w:rsidRPr="00345928">
        <w:rPr>
          <w:szCs w:val="22"/>
        </w:rPr>
        <w:t xml:space="preserve"> one round of public consultation following an assessment and the preparation of a draft Standard and associated report</w:t>
      </w:r>
      <w:r>
        <w:rPr>
          <w:szCs w:val="22"/>
        </w:rPr>
        <w:t xml:space="preserve">. </w:t>
      </w:r>
      <w:r w:rsidRPr="0057496B">
        <w:rPr>
          <w:szCs w:val="22"/>
        </w:rPr>
        <w:t xml:space="preserve">A call for </w:t>
      </w:r>
      <w:r w:rsidRPr="00E967A2">
        <w:rPr>
          <w:szCs w:val="22"/>
        </w:rPr>
        <w:t>submissions (including the draft variation) occur</w:t>
      </w:r>
      <w:r w:rsidR="000E02F3">
        <w:rPr>
          <w:szCs w:val="22"/>
        </w:rPr>
        <w:t>red</w:t>
      </w:r>
      <w:r w:rsidRPr="00E967A2">
        <w:rPr>
          <w:szCs w:val="22"/>
        </w:rPr>
        <w:t xml:space="preserve"> for a six-week consultation period.</w:t>
      </w:r>
    </w:p>
    <w:p w14:paraId="2D7A0744" w14:textId="77777777" w:rsidR="005253F0" w:rsidRDefault="005253F0" w:rsidP="005253F0">
      <w:pPr>
        <w:rPr>
          <w:color w:val="FF0000"/>
        </w:rPr>
      </w:pPr>
    </w:p>
    <w:p w14:paraId="3D7577DF" w14:textId="77777777" w:rsidR="005253F0" w:rsidRDefault="005253F0" w:rsidP="005253F0">
      <w:pPr>
        <w:widowControl/>
        <w:autoSpaceDE w:val="0"/>
        <w:autoSpaceDN w:val="0"/>
        <w:adjustRightInd w:val="0"/>
      </w:pPr>
      <w:r w:rsidRPr="00345928">
        <w:rPr>
          <w:rFonts w:eastAsia="Calibri" w:cs="Arial"/>
          <w:bCs/>
          <w:szCs w:val="22"/>
          <w:lang w:val="en-AU" w:bidi="ar-SA"/>
        </w:rPr>
        <w:t xml:space="preserve">A Regulation Impact Statement was not required because the proposed variation to Schedule 18 </w:t>
      </w:r>
      <w:r>
        <w:rPr>
          <w:rFonts w:eastAsia="Calibri" w:cs="Arial"/>
          <w:bCs/>
          <w:szCs w:val="22"/>
          <w:lang w:val="en-AU" w:bidi="ar-SA"/>
        </w:rPr>
        <w:t xml:space="preserve">and Schedule 3 </w:t>
      </w:r>
      <w:r w:rsidRPr="00345928">
        <w:rPr>
          <w:rFonts w:eastAsia="Calibri" w:cs="Arial"/>
          <w:bCs/>
          <w:szCs w:val="22"/>
          <w:lang w:val="en-AU" w:bidi="ar-SA"/>
        </w:rPr>
        <w:t>is</w:t>
      </w:r>
      <w:r w:rsidRPr="00345928">
        <w:t xml:space="preserve"> likely to have a minor impact on business and individuals. </w:t>
      </w:r>
    </w:p>
    <w:p w14:paraId="1331A171" w14:textId="150CA0B0" w:rsidR="002672E8" w:rsidRDefault="002672E8" w:rsidP="005253F0">
      <w:pPr>
        <w:widowControl/>
        <w:autoSpaceDE w:val="0"/>
        <w:autoSpaceDN w:val="0"/>
        <w:adjustRightInd w:val="0"/>
        <w:rPr>
          <w:rFonts w:cs="Arial"/>
          <w:szCs w:val="22"/>
        </w:rPr>
      </w:pPr>
    </w:p>
    <w:p w14:paraId="1B57C94F" w14:textId="77777777" w:rsidR="005253F0" w:rsidRDefault="005253F0" w:rsidP="005253F0">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1D2AF06" w14:textId="77777777" w:rsidR="005253F0" w:rsidRDefault="005253F0" w:rsidP="005253F0">
      <w:pPr>
        <w:rPr>
          <w:rFonts w:eastAsiaTheme="minorHAnsi"/>
          <w:lang w:val="en-AU" w:bidi="ar-SA"/>
        </w:rPr>
      </w:pPr>
    </w:p>
    <w:p w14:paraId="5A912C0E" w14:textId="77777777" w:rsidR="005253F0" w:rsidRDefault="005253F0" w:rsidP="005253F0">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E53FBBE" w14:textId="77777777" w:rsidR="005253F0" w:rsidRDefault="005253F0" w:rsidP="005253F0">
      <w:pPr>
        <w:rPr>
          <w:rFonts w:eastAsiaTheme="minorHAnsi"/>
          <w:lang w:val="en-AU" w:bidi="ar-SA"/>
        </w:rPr>
      </w:pPr>
    </w:p>
    <w:p w14:paraId="46ED55A8" w14:textId="77777777" w:rsidR="005253F0" w:rsidRPr="00700239" w:rsidRDefault="005253F0" w:rsidP="005253F0">
      <w:pPr>
        <w:rPr>
          <w:b/>
          <w:lang w:val="en-AU" w:eastAsia="en-GB" w:bidi="ar-SA"/>
        </w:rPr>
      </w:pPr>
      <w:r w:rsidRPr="00700239">
        <w:rPr>
          <w:b/>
        </w:rPr>
        <w:t>6.</w:t>
      </w:r>
      <w:r w:rsidRPr="00700239">
        <w:rPr>
          <w:b/>
        </w:rPr>
        <w:tab/>
      </w:r>
      <w:r w:rsidRPr="00700239">
        <w:rPr>
          <w:b/>
          <w:lang w:val="en-AU" w:eastAsia="en-GB" w:bidi="ar-SA"/>
        </w:rPr>
        <w:t>Variation</w:t>
      </w:r>
    </w:p>
    <w:p w14:paraId="19FBD943" w14:textId="77777777" w:rsidR="005253F0" w:rsidRPr="00AD344F" w:rsidRDefault="005253F0" w:rsidP="005253F0">
      <w:pPr>
        <w:rPr>
          <w:b/>
        </w:rPr>
      </w:pPr>
    </w:p>
    <w:p w14:paraId="6DCAA0E6" w14:textId="77777777" w:rsidR="005253F0" w:rsidRPr="00620214" w:rsidRDefault="005253F0" w:rsidP="005253F0">
      <w:pPr>
        <w:rPr>
          <w:b/>
          <w:i/>
        </w:rPr>
      </w:pPr>
      <w:r w:rsidRPr="00620214">
        <w:rPr>
          <w:b/>
          <w:i/>
        </w:rPr>
        <w:t>6.</w:t>
      </w:r>
      <w:r>
        <w:rPr>
          <w:b/>
          <w:i/>
        </w:rPr>
        <w:t>1</w:t>
      </w:r>
      <w:r w:rsidRPr="00620214">
        <w:rPr>
          <w:b/>
          <w:i/>
        </w:rPr>
        <w:tab/>
        <w:t>Variation to Schedule 3</w:t>
      </w:r>
    </w:p>
    <w:p w14:paraId="118B954A" w14:textId="77777777" w:rsidR="005253F0" w:rsidRDefault="005253F0" w:rsidP="005253F0"/>
    <w:p w14:paraId="32EAE36B" w14:textId="77777777" w:rsidR="005253F0" w:rsidRDefault="005253F0" w:rsidP="005253F0">
      <w:r>
        <w:t>Item [1] varies Schedule 3.</w:t>
      </w:r>
    </w:p>
    <w:p w14:paraId="782347CD" w14:textId="77777777" w:rsidR="005253F0" w:rsidRDefault="005253F0" w:rsidP="005253F0"/>
    <w:p w14:paraId="7C866BB2" w14:textId="0CC0437C" w:rsidR="005253F0" w:rsidRDefault="005253F0" w:rsidP="005253F0">
      <w:r>
        <w:t xml:space="preserve">Subitem [1.1] </w:t>
      </w:r>
      <w:r w:rsidRPr="00692945">
        <w:t xml:space="preserve">omits the words </w:t>
      </w:r>
      <w:r w:rsidR="001A16F2">
        <w:t>‘</w:t>
      </w:r>
      <w:r w:rsidRPr="00692945">
        <w:t>agarose ion exchange resin</w:t>
      </w:r>
      <w:r w:rsidR="001A16F2">
        <w:t>’</w:t>
      </w:r>
      <w:r w:rsidRPr="00692945">
        <w:t xml:space="preserve"> from the table to subsection S3—2(2)</w:t>
      </w:r>
      <w:r>
        <w:t>,</w:t>
      </w:r>
      <w:r w:rsidRPr="00692945">
        <w:t xml:space="preserve"> and substitutes those words with </w:t>
      </w:r>
      <w:r w:rsidR="00455AD6">
        <w:t>‘</w:t>
      </w:r>
      <w:r w:rsidRPr="00692945">
        <w:t>amine agarose ion exchange resin</w:t>
      </w:r>
      <w:r w:rsidR="00455AD6">
        <w:t>’</w:t>
      </w:r>
      <w:r w:rsidRPr="00692945">
        <w:t>.</w:t>
      </w:r>
    </w:p>
    <w:p w14:paraId="4BDE7EFA" w14:textId="77777777" w:rsidR="005253F0" w:rsidRDefault="005253F0" w:rsidP="005253F0"/>
    <w:p w14:paraId="31BA2BA4" w14:textId="16E11402" w:rsidR="005253F0" w:rsidRDefault="005253F0" w:rsidP="005253F0">
      <w:r>
        <w:t xml:space="preserve">Subitem [1.2] inserts a reference to </w:t>
      </w:r>
      <w:r w:rsidR="001A16F2">
        <w:t>‘</w:t>
      </w:r>
      <w:r>
        <w:t>sulphonate agarose ion exchange resin</w:t>
      </w:r>
      <w:r w:rsidR="001A16F2">
        <w:t>’</w:t>
      </w:r>
      <w:r>
        <w:t xml:space="preserve"> into the table to subsection </w:t>
      </w:r>
      <w:r w:rsidRPr="00692945">
        <w:t>S3—2(2) in alphabetical order</w:t>
      </w:r>
      <w:r>
        <w:t>, together with a reference to the provision that sets a specification for that substance (</w:t>
      </w:r>
      <w:r w:rsidR="00E56BCB">
        <w:t>‘</w:t>
      </w:r>
      <w:r>
        <w:t>section S3</w:t>
      </w:r>
      <w:r w:rsidRPr="00692945">
        <w:t>—</w:t>
      </w:r>
      <w:r>
        <w:t>34</w:t>
      </w:r>
      <w:r w:rsidR="00E56BCB">
        <w:t>’</w:t>
      </w:r>
      <w:r>
        <w:t>).</w:t>
      </w:r>
    </w:p>
    <w:p w14:paraId="4E28FEDB" w14:textId="77777777" w:rsidR="005253F0" w:rsidRDefault="005253F0" w:rsidP="005253F0"/>
    <w:p w14:paraId="15C5EDF4" w14:textId="35B62671" w:rsidR="005253F0" w:rsidRDefault="005253F0" w:rsidP="005253F0">
      <w:r>
        <w:t>Subitem [1.3] omits</w:t>
      </w:r>
      <w:r w:rsidRPr="00692945">
        <w:t xml:space="preserve"> the words </w:t>
      </w:r>
      <w:r w:rsidR="001A16F2">
        <w:t>‘</w:t>
      </w:r>
      <w:r w:rsidRPr="00692945">
        <w:t>agarose ion exchange resin</w:t>
      </w:r>
      <w:r w:rsidR="001A16F2">
        <w:t>’</w:t>
      </w:r>
      <w:r w:rsidRPr="00692945">
        <w:t xml:space="preserve"> from the heading to section S3—6, </w:t>
      </w:r>
      <w:r>
        <w:t xml:space="preserve">and substitutes those words with </w:t>
      </w:r>
      <w:r w:rsidR="00E56BCB">
        <w:t>‘</w:t>
      </w:r>
      <w:r w:rsidRPr="00692945">
        <w:t>amine agarose ion exchange resin</w:t>
      </w:r>
      <w:r w:rsidR="00E56BCB">
        <w:t>’.</w:t>
      </w:r>
    </w:p>
    <w:p w14:paraId="65466DAC" w14:textId="77777777" w:rsidR="005253F0" w:rsidRDefault="005253F0" w:rsidP="005253F0"/>
    <w:p w14:paraId="59EA5CFD" w14:textId="0A97800D" w:rsidR="005253F0" w:rsidRPr="006E5AC2" w:rsidRDefault="005253F0" w:rsidP="005253F0">
      <w:pPr>
        <w:rPr>
          <w:szCs w:val="22"/>
        </w:rPr>
      </w:pPr>
      <w:r>
        <w:t>Subitem [1.4] inserts new</w:t>
      </w:r>
      <w:r w:rsidRPr="00ED6E95">
        <w:t xml:space="preserve"> section S3—3</w:t>
      </w:r>
      <w:r>
        <w:t xml:space="preserve">4, which sets a specification for a sulphonate agarose ion exchange resin. </w:t>
      </w:r>
      <w:r w:rsidRPr="006E5AC2">
        <w:rPr>
          <w:szCs w:val="22"/>
        </w:rPr>
        <w:t xml:space="preserve">The new section is numbered S3—34 to take account of </w:t>
      </w:r>
      <w:r w:rsidR="00040CE5">
        <w:rPr>
          <w:szCs w:val="22"/>
        </w:rPr>
        <w:t>an</w:t>
      </w:r>
      <w:r>
        <w:rPr>
          <w:szCs w:val="22"/>
        </w:rPr>
        <w:t>other variatio</w:t>
      </w:r>
      <w:r w:rsidR="00040CE5">
        <w:rPr>
          <w:szCs w:val="22"/>
        </w:rPr>
        <w:t>n</w:t>
      </w:r>
      <w:r w:rsidRPr="006E5AC2">
        <w:rPr>
          <w:szCs w:val="22"/>
        </w:rPr>
        <w:t xml:space="preserve"> </w:t>
      </w:r>
      <w:r>
        <w:rPr>
          <w:szCs w:val="22"/>
        </w:rPr>
        <w:t xml:space="preserve">which will insert section </w:t>
      </w:r>
      <w:r w:rsidRPr="00ED6E95">
        <w:t>S3—3</w:t>
      </w:r>
      <w:r>
        <w:t xml:space="preserve">3 into </w:t>
      </w:r>
      <w:r w:rsidRPr="00393C25">
        <w:rPr>
          <w:szCs w:val="22"/>
        </w:rPr>
        <w:t>Schedule 3</w:t>
      </w:r>
      <w:r>
        <w:rPr>
          <w:szCs w:val="22"/>
        </w:rPr>
        <w:t>.</w:t>
      </w:r>
    </w:p>
    <w:p w14:paraId="0EFE3945" w14:textId="77777777" w:rsidR="005253F0" w:rsidRDefault="005253F0" w:rsidP="005253F0"/>
    <w:p w14:paraId="49E7B9FF" w14:textId="77777777" w:rsidR="005253F0" w:rsidRPr="0006221B" w:rsidRDefault="005253F0" w:rsidP="005253F0">
      <w:pPr>
        <w:keepNext/>
        <w:keepLines/>
        <w:widowControl/>
        <w:rPr>
          <w:b/>
          <w:i/>
        </w:rPr>
      </w:pPr>
      <w:r w:rsidRPr="0006221B">
        <w:rPr>
          <w:b/>
          <w:i/>
        </w:rPr>
        <w:t>6.</w:t>
      </w:r>
      <w:r>
        <w:rPr>
          <w:b/>
          <w:i/>
        </w:rPr>
        <w:t>2</w:t>
      </w:r>
      <w:r w:rsidRPr="0006221B">
        <w:rPr>
          <w:b/>
          <w:i/>
        </w:rPr>
        <w:tab/>
        <w:t>Variation to S</w:t>
      </w:r>
      <w:r>
        <w:rPr>
          <w:b/>
          <w:i/>
        </w:rPr>
        <w:t xml:space="preserve">chedule </w:t>
      </w:r>
      <w:r w:rsidRPr="0006221B">
        <w:rPr>
          <w:b/>
          <w:i/>
        </w:rPr>
        <w:t>1</w:t>
      </w:r>
      <w:r>
        <w:rPr>
          <w:b/>
          <w:i/>
        </w:rPr>
        <w:t>8</w:t>
      </w:r>
    </w:p>
    <w:p w14:paraId="59D752BD" w14:textId="77777777" w:rsidR="005253F0" w:rsidRDefault="005253F0" w:rsidP="005253F0"/>
    <w:p w14:paraId="348DF41A" w14:textId="77777777" w:rsidR="005253F0" w:rsidRDefault="005253F0" w:rsidP="005253F0">
      <w:r>
        <w:t>Item [2] varies Schedule 18.</w:t>
      </w:r>
    </w:p>
    <w:p w14:paraId="44DA624F" w14:textId="77777777" w:rsidR="005253F0" w:rsidRDefault="005253F0" w:rsidP="005253F0"/>
    <w:p w14:paraId="08FA5AE0" w14:textId="52998A82" w:rsidR="005253F0" w:rsidRDefault="005253F0" w:rsidP="005253F0">
      <w:r>
        <w:t xml:space="preserve">Subitem [2.1] omits the definition </w:t>
      </w:r>
      <w:r w:rsidRPr="00ED6E95">
        <w:t xml:space="preserve">of </w:t>
      </w:r>
      <w:r w:rsidR="001A16F2">
        <w:t>‘</w:t>
      </w:r>
      <w:r w:rsidRPr="00ED6E95">
        <w:t>agarose ion exchange resin</w:t>
      </w:r>
      <w:r w:rsidR="001A16F2">
        <w:t>’</w:t>
      </w:r>
      <w:r w:rsidRPr="00ED6E95">
        <w:t xml:space="preserve"> in subsection S18—9(2)</w:t>
      </w:r>
      <w:r>
        <w:t>.</w:t>
      </w:r>
    </w:p>
    <w:p w14:paraId="077D059E" w14:textId="77777777" w:rsidR="005253F0" w:rsidRDefault="005253F0" w:rsidP="005253F0"/>
    <w:p w14:paraId="624D2163" w14:textId="77777777" w:rsidR="005253F0" w:rsidRDefault="005253F0" w:rsidP="005253F0">
      <w:r>
        <w:t xml:space="preserve">Subitem [2.2] inserts </w:t>
      </w:r>
      <w:r w:rsidRPr="00ED6E95">
        <w:t>in subsection S18—9(2)</w:t>
      </w:r>
      <w:r>
        <w:t>,</w:t>
      </w:r>
      <w:r w:rsidRPr="00ED6E95">
        <w:t xml:space="preserve"> in alphabetical order</w:t>
      </w:r>
      <w:r>
        <w:t xml:space="preserve">, definitions for the following terms used in </w:t>
      </w:r>
      <w:r w:rsidRPr="00ED6E95">
        <w:t>section S18—9</w:t>
      </w:r>
      <w:r>
        <w:t>:</w:t>
      </w:r>
    </w:p>
    <w:p w14:paraId="4406CC80" w14:textId="77777777" w:rsidR="005253F0" w:rsidRDefault="005253F0" w:rsidP="005253F0"/>
    <w:p w14:paraId="53E015CD" w14:textId="343A80D0" w:rsidR="005253F0" w:rsidRPr="00D336B6" w:rsidRDefault="001A16F2" w:rsidP="005253F0">
      <w:pPr>
        <w:pStyle w:val="FSBullet"/>
        <w:numPr>
          <w:ilvl w:val="0"/>
          <w:numId w:val="32"/>
        </w:numPr>
        <w:ind w:left="567" w:hanging="567"/>
      </w:pPr>
      <w:r>
        <w:t>‘</w:t>
      </w:r>
      <w:r w:rsidR="005253F0" w:rsidRPr="00D336B6">
        <w:t>amine agarose ion exchange resin</w:t>
      </w:r>
      <w:r>
        <w:t>’</w:t>
      </w:r>
      <w:r w:rsidR="005253F0" w:rsidRPr="00D336B6">
        <w:t>; and</w:t>
      </w:r>
    </w:p>
    <w:p w14:paraId="56B1485E" w14:textId="46D1A879" w:rsidR="005253F0" w:rsidRPr="00D336B6" w:rsidRDefault="001A16F2" w:rsidP="005253F0">
      <w:pPr>
        <w:pStyle w:val="FSBullet"/>
        <w:numPr>
          <w:ilvl w:val="0"/>
          <w:numId w:val="32"/>
        </w:numPr>
        <w:ind w:left="567" w:hanging="567"/>
      </w:pPr>
      <w:r>
        <w:t>‘</w:t>
      </w:r>
      <w:r w:rsidR="005253F0" w:rsidRPr="00D336B6">
        <w:t>sulphonate agarose ion exchange resin</w:t>
      </w:r>
      <w:r>
        <w:t>’</w:t>
      </w:r>
      <w:r w:rsidR="005253F0">
        <w:t>.</w:t>
      </w:r>
    </w:p>
    <w:p w14:paraId="6A321164" w14:textId="77777777" w:rsidR="005253F0" w:rsidRDefault="005253F0" w:rsidP="005253F0">
      <w:r w:rsidDel="00D336B6">
        <w:t xml:space="preserve"> </w:t>
      </w:r>
    </w:p>
    <w:p w14:paraId="1DD221F7" w14:textId="559331FA" w:rsidR="005253F0" w:rsidRDefault="005253F0" w:rsidP="005253F0">
      <w:r>
        <w:t xml:space="preserve">Subitem [2.3] omits the words </w:t>
      </w:r>
      <w:r w:rsidR="001A16F2">
        <w:t>‘</w:t>
      </w:r>
      <w:r w:rsidRPr="00ED6E95">
        <w:t>Agarose ion exchange resin</w:t>
      </w:r>
      <w:r w:rsidR="001A16F2">
        <w:t>’</w:t>
      </w:r>
      <w:r w:rsidRPr="00ED6E95">
        <w:t xml:space="preserve"> </w:t>
      </w:r>
      <w:r>
        <w:t>from</w:t>
      </w:r>
      <w:r w:rsidRPr="00ED6E95">
        <w:t xml:space="preserve"> the table to subsection S18—9(3), </w:t>
      </w:r>
      <w:r>
        <w:t>and substitutes those words with</w:t>
      </w:r>
      <w:r w:rsidRPr="00ED6E95">
        <w:t xml:space="preserve"> </w:t>
      </w:r>
      <w:r w:rsidR="002F314D">
        <w:t>‘</w:t>
      </w:r>
      <w:r w:rsidRPr="00ED6E95">
        <w:t>Amine agarose ion exchange resin</w:t>
      </w:r>
      <w:r w:rsidR="002F314D">
        <w:t>’</w:t>
      </w:r>
      <w:r>
        <w:t>.</w:t>
      </w:r>
    </w:p>
    <w:p w14:paraId="216DC524" w14:textId="77777777" w:rsidR="005253F0" w:rsidRDefault="005253F0" w:rsidP="005253F0"/>
    <w:p w14:paraId="0B30C9B4" w14:textId="621AE017" w:rsidR="005253F0" w:rsidRDefault="005253F0" w:rsidP="005253F0">
      <w:r>
        <w:t>Subitem [2.4] inserts</w:t>
      </w:r>
      <w:r w:rsidRPr="00ED6E95">
        <w:t xml:space="preserve"> in the table to subsection S18—9(3)</w:t>
      </w:r>
      <w:r>
        <w:t>,</w:t>
      </w:r>
      <w:r w:rsidRPr="00ED6E95">
        <w:t xml:space="preserve"> in alphabetical order</w:t>
      </w:r>
      <w:r>
        <w:t xml:space="preserve">, a new entry for </w:t>
      </w:r>
      <w:r w:rsidR="001A16F2">
        <w:t>‘</w:t>
      </w:r>
      <w:r>
        <w:t>Sulphonate a</w:t>
      </w:r>
      <w:r w:rsidRPr="00592060">
        <w:t>garose ion exchange resin</w:t>
      </w:r>
      <w:r w:rsidR="001A16F2">
        <w:t>’</w:t>
      </w:r>
      <w:r>
        <w:t xml:space="preserve">. The effect of this amendment is that </w:t>
      </w:r>
      <w:r w:rsidRPr="00D336B6">
        <w:t>sulphonate agarose ion exchange resin</w:t>
      </w:r>
      <w:r>
        <w:t xml:space="preserve"> is permitted as a processing aid where:</w:t>
      </w:r>
    </w:p>
    <w:p w14:paraId="69B6A6C6" w14:textId="77777777" w:rsidR="005253F0" w:rsidRDefault="005253F0" w:rsidP="005253F0"/>
    <w:p w14:paraId="2CF1ADBA" w14:textId="77777777" w:rsidR="00C00058" w:rsidRDefault="00C00058" w:rsidP="005253F0">
      <w:pPr>
        <w:pStyle w:val="FSBullet"/>
        <w:numPr>
          <w:ilvl w:val="0"/>
          <w:numId w:val="32"/>
        </w:numPr>
        <w:ind w:left="567" w:hanging="567"/>
      </w:pPr>
      <w:r>
        <w:br w:type="page"/>
      </w:r>
    </w:p>
    <w:p w14:paraId="1F28F676" w14:textId="2A2D7517" w:rsidR="005253F0" w:rsidRDefault="005253F0" w:rsidP="005253F0">
      <w:pPr>
        <w:pStyle w:val="FSBullet"/>
        <w:numPr>
          <w:ilvl w:val="0"/>
          <w:numId w:val="32"/>
        </w:numPr>
        <w:ind w:left="567" w:hanging="567"/>
      </w:pPr>
      <w:r>
        <w:lastRenderedPageBreak/>
        <w:t>its technological purpose is the p</w:t>
      </w:r>
      <w:r w:rsidRPr="0051428E">
        <w:t>roduction of lactoferrin from bovine milk and milk-related products</w:t>
      </w:r>
      <w:r w:rsidRPr="00040CE5">
        <w:rPr>
          <w:b/>
        </w:rPr>
        <w:t xml:space="preserve">; </w:t>
      </w:r>
      <w:r w:rsidRPr="00643CAD">
        <w:t>and</w:t>
      </w:r>
    </w:p>
    <w:p w14:paraId="0183E25D" w14:textId="2CB4DD64" w:rsidR="005253F0" w:rsidRDefault="005253F0" w:rsidP="005253F0">
      <w:pPr>
        <w:pStyle w:val="FSBullet"/>
        <w:numPr>
          <w:ilvl w:val="0"/>
          <w:numId w:val="32"/>
        </w:numPr>
        <w:ind w:left="567" w:hanging="567"/>
      </w:pPr>
      <w:r>
        <w:t>its maximum levels are consistent with good manufacturing practice</w:t>
      </w:r>
      <w:r w:rsidR="000415B2">
        <w:t xml:space="preserve"> (GMP)</w:t>
      </w:r>
      <w:r>
        <w:t xml:space="preserve">. </w:t>
      </w:r>
    </w:p>
    <w:bookmarkEnd w:id="131"/>
    <w:bookmarkEnd w:id="132"/>
    <w:p w14:paraId="21781ECA" w14:textId="7DD9A8A4" w:rsidR="0012388D" w:rsidRDefault="0012388D" w:rsidP="00040CE5"/>
    <w:sectPr w:rsidR="0012388D"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05B9C" w14:textId="77777777" w:rsidR="00E63860" w:rsidRDefault="00E63860">
      <w:r>
        <w:separator/>
      </w:r>
    </w:p>
    <w:p w14:paraId="39B76276" w14:textId="77777777" w:rsidR="00E63860" w:rsidRDefault="00E63860"/>
  </w:endnote>
  <w:endnote w:type="continuationSeparator" w:id="0">
    <w:p w14:paraId="5157B952" w14:textId="77777777" w:rsidR="00E63860" w:rsidRDefault="00E63860">
      <w:r>
        <w:continuationSeparator/>
      </w:r>
    </w:p>
    <w:p w14:paraId="2D6D56AE" w14:textId="77777777" w:rsidR="00E63860" w:rsidRDefault="00E63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C918D" w14:textId="77777777" w:rsidR="00E63860" w:rsidRDefault="00E6386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B8727C" w14:textId="77777777" w:rsidR="00E63860" w:rsidRDefault="00E638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7913"/>
      <w:docPartObj>
        <w:docPartGallery w:val="Page Numbers (Bottom of Page)"/>
        <w:docPartUnique/>
      </w:docPartObj>
    </w:sdtPr>
    <w:sdtEndPr>
      <w:rPr>
        <w:noProof/>
      </w:rPr>
    </w:sdtEndPr>
    <w:sdtContent>
      <w:p w14:paraId="4C2A91B0" w14:textId="77777777" w:rsidR="00E63860" w:rsidRDefault="00E63860" w:rsidP="00A671E6">
        <w:pPr>
          <w:pStyle w:val="Footer"/>
          <w:jc w:val="center"/>
        </w:pPr>
        <w:r>
          <w:fldChar w:fldCharType="begin"/>
        </w:r>
        <w:r>
          <w:instrText xml:space="preserve"> PAGE   \* MERGEFORMAT </w:instrText>
        </w:r>
        <w:r>
          <w:fldChar w:fldCharType="separate"/>
        </w:r>
        <w:r w:rsidR="00F23209">
          <w:rPr>
            <w:noProof/>
          </w:rPr>
          <w:t>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98D99" w14:textId="61F7EAD2" w:rsidR="00E63860" w:rsidRDefault="00E63860">
      <w:r>
        <w:separator/>
      </w:r>
    </w:p>
  </w:footnote>
  <w:footnote w:type="continuationSeparator" w:id="0">
    <w:p w14:paraId="6E13A6DB" w14:textId="77777777" w:rsidR="00E63860" w:rsidRDefault="00E63860">
      <w:r>
        <w:continuationSeparator/>
      </w:r>
    </w:p>
    <w:p w14:paraId="02F50B76" w14:textId="77777777" w:rsidR="00E63860" w:rsidRDefault="00E63860"/>
  </w:footnote>
  <w:footnote w:id="1">
    <w:p w14:paraId="68EC73A0" w14:textId="787EBE24" w:rsidR="00E63860" w:rsidRPr="00C14039" w:rsidRDefault="00E63860">
      <w:pPr>
        <w:pStyle w:val="FootnoteText"/>
        <w:rPr>
          <w:sz w:val="18"/>
          <w:szCs w:val="18"/>
          <w:lang w:val="en-AU"/>
        </w:rPr>
      </w:pPr>
      <w:r w:rsidRPr="00C14039">
        <w:rPr>
          <w:rStyle w:val="FootnoteReference"/>
          <w:sz w:val="18"/>
          <w:szCs w:val="18"/>
        </w:rPr>
        <w:footnoteRef/>
      </w:r>
      <w:r w:rsidRPr="00C14039">
        <w:rPr>
          <w:sz w:val="18"/>
          <w:szCs w:val="18"/>
        </w:rPr>
        <w:t xml:space="preserve"> </w:t>
      </w:r>
      <w:r w:rsidRPr="00C14039">
        <w:rPr>
          <w:sz w:val="18"/>
          <w:szCs w:val="18"/>
          <w:lang w:val="en-AU"/>
        </w:rPr>
        <w:t xml:space="preserve">A substance derived from food that is thought to have </w:t>
      </w:r>
      <w:r w:rsidR="00C14039">
        <w:rPr>
          <w:sz w:val="18"/>
          <w:szCs w:val="18"/>
          <w:lang w:val="en-AU"/>
        </w:rPr>
        <w:t xml:space="preserve">certain </w:t>
      </w:r>
      <w:r w:rsidRPr="00C14039">
        <w:rPr>
          <w:sz w:val="18"/>
          <w:szCs w:val="18"/>
          <w:lang w:val="en-AU"/>
        </w:rPr>
        <w:t xml:space="preserve">health benefits </w:t>
      </w:r>
      <w:r w:rsidR="00C14039">
        <w:rPr>
          <w:sz w:val="18"/>
          <w:szCs w:val="18"/>
          <w:lang w:val="en-AU"/>
        </w:rPr>
        <w:t xml:space="preserve">beyond its basic </w:t>
      </w:r>
      <w:r w:rsidR="00C14039" w:rsidRPr="00C14039">
        <w:rPr>
          <w:sz w:val="18"/>
          <w:szCs w:val="18"/>
          <w:lang w:val="en-AU"/>
        </w:rPr>
        <w:t>nutritional value.</w:t>
      </w:r>
    </w:p>
  </w:footnote>
  <w:footnote w:id="2">
    <w:p w14:paraId="5A3F2D27" w14:textId="77777777" w:rsidR="00E63860" w:rsidRPr="006115C5" w:rsidRDefault="00E63860" w:rsidP="00AB6CC5">
      <w:pPr>
        <w:pStyle w:val="FootnoteText"/>
        <w:rPr>
          <w:lang w:val="en-AU"/>
        </w:rPr>
      </w:pPr>
      <w:r w:rsidRPr="00DA2754">
        <w:rPr>
          <w:rStyle w:val="FootnoteReference"/>
          <w:sz w:val="18"/>
          <w:szCs w:val="18"/>
        </w:rPr>
        <w:footnoteRef/>
      </w:r>
      <w:r w:rsidRPr="00DA2754">
        <w:rPr>
          <w:sz w:val="18"/>
          <w:szCs w:val="18"/>
        </w:rPr>
        <w:t xml:space="preserve"> </w:t>
      </w:r>
      <w:hyperlink r:id="rId1" w:history="1">
        <w:r w:rsidRPr="00BB3B54">
          <w:rPr>
            <w:rStyle w:val="Hyperlink"/>
            <w:sz w:val="18"/>
            <w:szCs w:val="18"/>
          </w:rPr>
          <w:t>http://www.foodstandards.gov.au/code/fofr/fofrpolicy/pages/default.aspx</w:t>
        </w:r>
      </w:hyperlink>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0D8D2" w14:textId="77777777" w:rsidR="00E63860" w:rsidRDefault="00E63860">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9">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4">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0"/>
  </w:num>
  <w:num w:numId="2">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8"/>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7"/>
  </w:num>
  <w:num w:numId="14">
    <w:abstractNumId w:val="25"/>
  </w:num>
  <w:num w:numId="15">
    <w:abstractNumId w:val="36"/>
  </w:num>
  <w:num w:numId="16">
    <w:abstractNumId w:val="11"/>
  </w:num>
  <w:num w:numId="17">
    <w:abstractNumId w:val="3"/>
  </w:num>
  <w:num w:numId="18">
    <w:abstractNumId w:val="0"/>
  </w:num>
  <w:num w:numId="19">
    <w:abstractNumId w:val="28"/>
  </w:num>
  <w:num w:numId="20">
    <w:abstractNumId w:val="8"/>
  </w:num>
  <w:num w:numId="21">
    <w:abstractNumId w:val="41"/>
  </w:num>
  <w:num w:numId="22">
    <w:abstractNumId w:val="35"/>
  </w:num>
  <w:num w:numId="23">
    <w:abstractNumId w:val="13"/>
  </w:num>
  <w:num w:numId="24">
    <w:abstractNumId w:val="15"/>
  </w:num>
  <w:num w:numId="25">
    <w:abstractNumId w:val="34"/>
  </w:num>
  <w:num w:numId="26">
    <w:abstractNumId w:val="34"/>
  </w:num>
  <w:num w:numId="27">
    <w:abstractNumId w:val="24"/>
  </w:num>
  <w:num w:numId="28">
    <w:abstractNumId w:val="29"/>
  </w:num>
  <w:num w:numId="29">
    <w:abstractNumId w:val="30"/>
  </w:num>
  <w:num w:numId="30">
    <w:abstractNumId w:val="19"/>
  </w:num>
  <w:num w:numId="31">
    <w:abstractNumId w:val="17"/>
  </w:num>
  <w:num w:numId="32">
    <w:abstractNumId w:val="2"/>
  </w:num>
  <w:num w:numId="33">
    <w:abstractNumId w:val="9"/>
  </w:num>
  <w:num w:numId="34">
    <w:abstractNumId w:val="4"/>
  </w:num>
  <w:num w:numId="35">
    <w:abstractNumId w:val="26"/>
  </w:num>
  <w:num w:numId="36">
    <w:abstractNumId w:val="23"/>
  </w:num>
  <w:num w:numId="37">
    <w:abstractNumId w:val="7"/>
  </w:num>
  <w:num w:numId="38">
    <w:abstractNumId w:val="39"/>
  </w:num>
  <w:num w:numId="39">
    <w:abstractNumId w:val="18"/>
  </w:num>
  <w:num w:numId="40">
    <w:abstractNumId w:val="31"/>
  </w:num>
  <w:num w:numId="41">
    <w:abstractNumId w:val="12"/>
  </w:num>
  <w:num w:numId="42">
    <w:abstractNumId w:val="33"/>
  </w:num>
  <w:num w:numId="43">
    <w:abstractNumId w:val="16"/>
  </w:num>
  <w:num w:numId="44">
    <w:abstractNumId w:val="22"/>
  </w:num>
  <w:num w:numId="45">
    <w:abstractNumId w:val="20"/>
  </w:num>
  <w:num w:numId="46">
    <w:abstractNumId w:val="10"/>
  </w:num>
  <w:num w:numId="47">
    <w:abstractNumId w:val="21"/>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E79"/>
    <w:rsid w:val="00011187"/>
    <w:rsid w:val="00014E34"/>
    <w:rsid w:val="000175EC"/>
    <w:rsid w:val="000332AE"/>
    <w:rsid w:val="00035FF3"/>
    <w:rsid w:val="00040CE5"/>
    <w:rsid w:val="000415B2"/>
    <w:rsid w:val="000418F0"/>
    <w:rsid w:val="00051021"/>
    <w:rsid w:val="000524F0"/>
    <w:rsid w:val="00052D54"/>
    <w:rsid w:val="00056B8E"/>
    <w:rsid w:val="000576EB"/>
    <w:rsid w:val="00064B2D"/>
    <w:rsid w:val="00065F1F"/>
    <w:rsid w:val="00076D33"/>
    <w:rsid w:val="00076D3B"/>
    <w:rsid w:val="00077859"/>
    <w:rsid w:val="00077AEA"/>
    <w:rsid w:val="00081B0A"/>
    <w:rsid w:val="000A0E8D"/>
    <w:rsid w:val="000A3D8B"/>
    <w:rsid w:val="000B427A"/>
    <w:rsid w:val="000B5B5A"/>
    <w:rsid w:val="000B6AF2"/>
    <w:rsid w:val="000D6FD4"/>
    <w:rsid w:val="000D7B1C"/>
    <w:rsid w:val="000E02F3"/>
    <w:rsid w:val="000E0AE4"/>
    <w:rsid w:val="000E1EA4"/>
    <w:rsid w:val="000E3DBC"/>
    <w:rsid w:val="000E5DEA"/>
    <w:rsid w:val="000E662F"/>
    <w:rsid w:val="000F3CFE"/>
    <w:rsid w:val="000F6568"/>
    <w:rsid w:val="00102819"/>
    <w:rsid w:val="00104544"/>
    <w:rsid w:val="001053E7"/>
    <w:rsid w:val="0010778D"/>
    <w:rsid w:val="001113F2"/>
    <w:rsid w:val="001122EC"/>
    <w:rsid w:val="0012388D"/>
    <w:rsid w:val="00136B57"/>
    <w:rsid w:val="00150B54"/>
    <w:rsid w:val="0015187A"/>
    <w:rsid w:val="00164B90"/>
    <w:rsid w:val="00182C4C"/>
    <w:rsid w:val="001878C5"/>
    <w:rsid w:val="0019399D"/>
    <w:rsid w:val="00197D8D"/>
    <w:rsid w:val="001A16F2"/>
    <w:rsid w:val="001A1A75"/>
    <w:rsid w:val="001A7E9A"/>
    <w:rsid w:val="001C27A3"/>
    <w:rsid w:val="001D43F6"/>
    <w:rsid w:val="001D732C"/>
    <w:rsid w:val="001E09FA"/>
    <w:rsid w:val="0020199C"/>
    <w:rsid w:val="00202A6F"/>
    <w:rsid w:val="0022197C"/>
    <w:rsid w:val="00221D07"/>
    <w:rsid w:val="00224E3B"/>
    <w:rsid w:val="00227E4A"/>
    <w:rsid w:val="002421C1"/>
    <w:rsid w:val="00243C7C"/>
    <w:rsid w:val="00250197"/>
    <w:rsid w:val="002672E8"/>
    <w:rsid w:val="002758A0"/>
    <w:rsid w:val="0029204E"/>
    <w:rsid w:val="00292B9B"/>
    <w:rsid w:val="0029760B"/>
    <w:rsid w:val="002A0194"/>
    <w:rsid w:val="002A5F8B"/>
    <w:rsid w:val="002A7F6C"/>
    <w:rsid w:val="002B0071"/>
    <w:rsid w:val="002C1A3B"/>
    <w:rsid w:val="002E16D5"/>
    <w:rsid w:val="002E1820"/>
    <w:rsid w:val="002F314D"/>
    <w:rsid w:val="002F35EA"/>
    <w:rsid w:val="002F6488"/>
    <w:rsid w:val="00305C54"/>
    <w:rsid w:val="0031016C"/>
    <w:rsid w:val="0031426B"/>
    <w:rsid w:val="003213F9"/>
    <w:rsid w:val="00323AB6"/>
    <w:rsid w:val="00323DBF"/>
    <w:rsid w:val="00327867"/>
    <w:rsid w:val="00332B12"/>
    <w:rsid w:val="00336F0F"/>
    <w:rsid w:val="00337CBC"/>
    <w:rsid w:val="003428FC"/>
    <w:rsid w:val="00346622"/>
    <w:rsid w:val="003507DB"/>
    <w:rsid w:val="00351B07"/>
    <w:rsid w:val="0036533D"/>
    <w:rsid w:val="00371B29"/>
    <w:rsid w:val="00373C1B"/>
    <w:rsid w:val="00374D8B"/>
    <w:rsid w:val="003766F8"/>
    <w:rsid w:val="00380106"/>
    <w:rsid w:val="003814F0"/>
    <w:rsid w:val="00381E07"/>
    <w:rsid w:val="00385788"/>
    <w:rsid w:val="00391769"/>
    <w:rsid w:val="003953E1"/>
    <w:rsid w:val="003956B3"/>
    <w:rsid w:val="00395F43"/>
    <w:rsid w:val="003A0A4D"/>
    <w:rsid w:val="003A0DB8"/>
    <w:rsid w:val="003A3D30"/>
    <w:rsid w:val="003A43AA"/>
    <w:rsid w:val="003A68BE"/>
    <w:rsid w:val="003A7B84"/>
    <w:rsid w:val="003B03B6"/>
    <w:rsid w:val="003C4969"/>
    <w:rsid w:val="003D2CDC"/>
    <w:rsid w:val="003E41D5"/>
    <w:rsid w:val="003E46BA"/>
    <w:rsid w:val="003F104B"/>
    <w:rsid w:val="003F74C1"/>
    <w:rsid w:val="00401ADE"/>
    <w:rsid w:val="00405B1A"/>
    <w:rsid w:val="00405D23"/>
    <w:rsid w:val="00410C76"/>
    <w:rsid w:val="00411907"/>
    <w:rsid w:val="00417EE3"/>
    <w:rsid w:val="004207EB"/>
    <w:rsid w:val="00421730"/>
    <w:rsid w:val="00422EC9"/>
    <w:rsid w:val="00423AC7"/>
    <w:rsid w:val="00432A42"/>
    <w:rsid w:val="00437276"/>
    <w:rsid w:val="00453646"/>
    <w:rsid w:val="00455AD6"/>
    <w:rsid w:val="00456B54"/>
    <w:rsid w:val="00456BD5"/>
    <w:rsid w:val="00463830"/>
    <w:rsid w:val="00464643"/>
    <w:rsid w:val="004807F1"/>
    <w:rsid w:val="00486793"/>
    <w:rsid w:val="00486C66"/>
    <w:rsid w:val="00494A3F"/>
    <w:rsid w:val="004A2037"/>
    <w:rsid w:val="004A6DED"/>
    <w:rsid w:val="004A793C"/>
    <w:rsid w:val="004B047B"/>
    <w:rsid w:val="004B4CDC"/>
    <w:rsid w:val="004C0B73"/>
    <w:rsid w:val="004D121E"/>
    <w:rsid w:val="004D1B1C"/>
    <w:rsid w:val="004D75A9"/>
    <w:rsid w:val="004F4F98"/>
    <w:rsid w:val="004F69F6"/>
    <w:rsid w:val="004F79AC"/>
    <w:rsid w:val="0050225F"/>
    <w:rsid w:val="00506E9B"/>
    <w:rsid w:val="005177B4"/>
    <w:rsid w:val="005207D8"/>
    <w:rsid w:val="00523930"/>
    <w:rsid w:val="005244F1"/>
    <w:rsid w:val="005253F0"/>
    <w:rsid w:val="00537CDC"/>
    <w:rsid w:val="00560185"/>
    <w:rsid w:val="00562917"/>
    <w:rsid w:val="00571B8C"/>
    <w:rsid w:val="005737C3"/>
    <w:rsid w:val="00580DDF"/>
    <w:rsid w:val="005811B7"/>
    <w:rsid w:val="00583AAB"/>
    <w:rsid w:val="005856D1"/>
    <w:rsid w:val="00586228"/>
    <w:rsid w:val="005946D3"/>
    <w:rsid w:val="00597631"/>
    <w:rsid w:val="005A572E"/>
    <w:rsid w:val="005B084E"/>
    <w:rsid w:val="005B6AF4"/>
    <w:rsid w:val="005B71C4"/>
    <w:rsid w:val="005C04CB"/>
    <w:rsid w:val="005C591D"/>
    <w:rsid w:val="005D16AD"/>
    <w:rsid w:val="005D1D4D"/>
    <w:rsid w:val="005D2016"/>
    <w:rsid w:val="005D2B3F"/>
    <w:rsid w:val="005D72E1"/>
    <w:rsid w:val="005E06C0"/>
    <w:rsid w:val="005E2C29"/>
    <w:rsid w:val="005E58D3"/>
    <w:rsid w:val="005E6E16"/>
    <w:rsid w:val="005F400E"/>
    <w:rsid w:val="005F7342"/>
    <w:rsid w:val="00610A3C"/>
    <w:rsid w:val="006138D7"/>
    <w:rsid w:val="006156E6"/>
    <w:rsid w:val="00615E83"/>
    <w:rsid w:val="00616017"/>
    <w:rsid w:val="00627F48"/>
    <w:rsid w:val="0063455F"/>
    <w:rsid w:val="00635814"/>
    <w:rsid w:val="00643CAD"/>
    <w:rsid w:val="00663FCF"/>
    <w:rsid w:val="006652A2"/>
    <w:rsid w:val="00677214"/>
    <w:rsid w:val="00683071"/>
    <w:rsid w:val="00692490"/>
    <w:rsid w:val="006969CC"/>
    <w:rsid w:val="00696A15"/>
    <w:rsid w:val="006A48A7"/>
    <w:rsid w:val="006A5D40"/>
    <w:rsid w:val="006C22A7"/>
    <w:rsid w:val="006C3D62"/>
    <w:rsid w:val="006C5CF5"/>
    <w:rsid w:val="006D33FF"/>
    <w:rsid w:val="006E10A1"/>
    <w:rsid w:val="006F2698"/>
    <w:rsid w:val="006F4A82"/>
    <w:rsid w:val="006F67BF"/>
    <w:rsid w:val="00710C37"/>
    <w:rsid w:val="00724FA4"/>
    <w:rsid w:val="00730800"/>
    <w:rsid w:val="0074212F"/>
    <w:rsid w:val="00755F02"/>
    <w:rsid w:val="007602AA"/>
    <w:rsid w:val="007652EF"/>
    <w:rsid w:val="00765DE1"/>
    <w:rsid w:val="007704C0"/>
    <w:rsid w:val="00772BDC"/>
    <w:rsid w:val="00777437"/>
    <w:rsid w:val="00780263"/>
    <w:rsid w:val="00780792"/>
    <w:rsid w:val="0078309E"/>
    <w:rsid w:val="007840BA"/>
    <w:rsid w:val="00795D86"/>
    <w:rsid w:val="007A1BF2"/>
    <w:rsid w:val="007A44B4"/>
    <w:rsid w:val="007A53BF"/>
    <w:rsid w:val="007A7D3D"/>
    <w:rsid w:val="007B225D"/>
    <w:rsid w:val="007B37B3"/>
    <w:rsid w:val="007C1C64"/>
    <w:rsid w:val="007C22CB"/>
    <w:rsid w:val="007C4086"/>
    <w:rsid w:val="007D0189"/>
    <w:rsid w:val="007E48BC"/>
    <w:rsid w:val="007E79F7"/>
    <w:rsid w:val="007F3630"/>
    <w:rsid w:val="007F7BF7"/>
    <w:rsid w:val="00807559"/>
    <w:rsid w:val="00813464"/>
    <w:rsid w:val="00831154"/>
    <w:rsid w:val="008450BC"/>
    <w:rsid w:val="00847066"/>
    <w:rsid w:val="00850B09"/>
    <w:rsid w:val="00852BC2"/>
    <w:rsid w:val="0085334B"/>
    <w:rsid w:val="008537BA"/>
    <w:rsid w:val="00856712"/>
    <w:rsid w:val="00860808"/>
    <w:rsid w:val="00861C13"/>
    <w:rsid w:val="00862349"/>
    <w:rsid w:val="0086571E"/>
    <w:rsid w:val="00870214"/>
    <w:rsid w:val="00871116"/>
    <w:rsid w:val="00885C51"/>
    <w:rsid w:val="00896B85"/>
    <w:rsid w:val="008A243D"/>
    <w:rsid w:val="008C4E76"/>
    <w:rsid w:val="008D06C6"/>
    <w:rsid w:val="008D5E9D"/>
    <w:rsid w:val="008E2E79"/>
    <w:rsid w:val="008E3C67"/>
    <w:rsid w:val="008E6250"/>
    <w:rsid w:val="00917C6F"/>
    <w:rsid w:val="00920249"/>
    <w:rsid w:val="00932F14"/>
    <w:rsid w:val="0094247F"/>
    <w:rsid w:val="00942D60"/>
    <w:rsid w:val="009460FA"/>
    <w:rsid w:val="00947534"/>
    <w:rsid w:val="009478A1"/>
    <w:rsid w:val="0096523B"/>
    <w:rsid w:val="00972D06"/>
    <w:rsid w:val="00974661"/>
    <w:rsid w:val="0099323D"/>
    <w:rsid w:val="00994E90"/>
    <w:rsid w:val="0099623A"/>
    <w:rsid w:val="009A2699"/>
    <w:rsid w:val="009A2DC9"/>
    <w:rsid w:val="009A391C"/>
    <w:rsid w:val="009B1FDA"/>
    <w:rsid w:val="009E0A61"/>
    <w:rsid w:val="009E3010"/>
    <w:rsid w:val="009E46F5"/>
    <w:rsid w:val="009F7065"/>
    <w:rsid w:val="00A20015"/>
    <w:rsid w:val="00A2449C"/>
    <w:rsid w:val="00A25C1D"/>
    <w:rsid w:val="00A318EB"/>
    <w:rsid w:val="00A50047"/>
    <w:rsid w:val="00A551B9"/>
    <w:rsid w:val="00A56DC7"/>
    <w:rsid w:val="00A66FDD"/>
    <w:rsid w:val="00A671E6"/>
    <w:rsid w:val="00A709E5"/>
    <w:rsid w:val="00A74FD1"/>
    <w:rsid w:val="00A84A58"/>
    <w:rsid w:val="00A929A9"/>
    <w:rsid w:val="00A96594"/>
    <w:rsid w:val="00A977B4"/>
    <w:rsid w:val="00AA14BB"/>
    <w:rsid w:val="00AA41BA"/>
    <w:rsid w:val="00AA6D0D"/>
    <w:rsid w:val="00AA6FA3"/>
    <w:rsid w:val="00AB6CC5"/>
    <w:rsid w:val="00AC165D"/>
    <w:rsid w:val="00AC428E"/>
    <w:rsid w:val="00AD344F"/>
    <w:rsid w:val="00AD6341"/>
    <w:rsid w:val="00AE4FFD"/>
    <w:rsid w:val="00AF24FA"/>
    <w:rsid w:val="00AF387F"/>
    <w:rsid w:val="00AF397D"/>
    <w:rsid w:val="00B00E7F"/>
    <w:rsid w:val="00B0565A"/>
    <w:rsid w:val="00B17112"/>
    <w:rsid w:val="00B21055"/>
    <w:rsid w:val="00B21DCC"/>
    <w:rsid w:val="00B25F37"/>
    <w:rsid w:val="00B37158"/>
    <w:rsid w:val="00B4159C"/>
    <w:rsid w:val="00B425AA"/>
    <w:rsid w:val="00B44422"/>
    <w:rsid w:val="00B46EA0"/>
    <w:rsid w:val="00B54243"/>
    <w:rsid w:val="00B55714"/>
    <w:rsid w:val="00B63BBA"/>
    <w:rsid w:val="00B731D3"/>
    <w:rsid w:val="00B75B57"/>
    <w:rsid w:val="00B75DC9"/>
    <w:rsid w:val="00B77C18"/>
    <w:rsid w:val="00B811B3"/>
    <w:rsid w:val="00B839A3"/>
    <w:rsid w:val="00B902BD"/>
    <w:rsid w:val="00B92501"/>
    <w:rsid w:val="00BA1009"/>
    <w:rsid w:val="00BB0EC9"/>
    <w:rsid w:val="00BD2A39"/>
    <w:rsid w:val="00BD2E80"/>
    <w:rsid w:val="00BD49FF"/>
    <w:rsid w:val="00BD4B64"/>
    <w:rsid w:val="00BD77E1"/>
    <w:rsid w:val="00BE11B8"/>
    <w:rsid w:val="00BF7FF0"/>
    <w:rsid w:val="00C00058"/>
    <w:rsid w:val="00C11AEA"/>
    <w:rsid w:val="00C12502"/>
    <w:rsid w:val="00C14039"/>
    <w:rsid w:val="00C26B3B"/>
    <w:rsid w:val="00C32B02"/>
    <w:rsid w:val="00C40AA5"/>
    <w:rsid w:val="00C46F70"/>
    <w:rsid w:val="00C476D0"/>
    <w:rsid w:val="00C56A6F"/>
    <w:rsid w:val="00C6434A"/>
    <w:rsid w:val="00C64555"/>
    <w:rsid w:val="00C64D21"/>
    <w:rsid w:val="00C74398"/>
    <w:rsid w:val="00C830B9"/>
    <w:rsid w:val="00C836E3"/>
    <w:rsid w:val="00C836FF"/>
    <w:rsid w:val="00C854DC"/>
    <w:rsid w:val="00C86577"/>
    <w:rsid w:val="00C91C02"/>
    <w:rsid w:val="00C92E07"/>
    <w:rsid w:val="00C96868"/>
    <w:rsid w:val="00CA0416"/>
    <w:rsid w:val="00CA5734"/>
    <w:rsid w:val="00CB067B"/>
    <w:rsid w:val="00CB115C"/>
    <w:rsid w:val="00CC3764"/>
    <w:rsid w:val="00CC3A35"/>
    <w:rsid w:val="00CC5468"/>
    <w:rsid w:val="00CC560B"/>
    <w:rsid w:val="00CC75E2"/>
    <w:rsid w:val="00CD46EB"/>
    <w:rsid w:val="00CD7EBF"/>
    <w:rsid w:val="00CE59AA"/>
    <w:rsid w:val="00CF0E86"/>
    <w:rsid w:val="00D00DFA"/>
    <w:rsid w:val="00D056F1"/>
    <w:rsid w:val="00D06616"/>
    <w:rsid w:val="00D144D7"/>
    <w:rsid w:val="00D15A08"/>
    <w:rsid w:val="00D178DC"/>
    <w:rsid w:val="00D23DB6"/>
    <w:rsid w:val="00D51A95"/>
    <w:rsid w:val="00D60568"/>
    <w:rsid w:val="00D6785F"/>
    <w:rsid w:val="00D70C7A"/>
    <w:rsid w:val="00D72A29"/>
    <w:rsid w:val="00D834E5"/>
    <w:rsid w:val="00D96C9C"/>
    <w:rsid w:val="00DA10A8"/>
    <w:rsid w:val="00DB123A"/>
    <w:rsid w:val="00DB1E08"/>
    <w:rsid w:val="00DB2973"/>
    <w:rsid w:val="00DC0FBA"/>
    <w:rsid w:val="00DC1B56"/>
    <w:rsid w:val="00DC20CC"/>
    <w:rsid w:val="00DC2129"/>
    <w:rsid w:val="00DC6570"/>
    <w:rsid w:val="00DD265C"/>
    <w:rsid w:val="00DD3703"/>
    <w:rsid w:val="00DE5528"/>
    <w:rsid w:val="00DF25C3"/>
    <w:rsid w:val="00DF5CFF"/>
    <w:rsid w:val="00DF72BB"/>
    <w:rsid w:val="00E04062"/>
    <w:rsid w:val="00E063C6"/>
    <w:rsid w:val="00E12E93"/>
    <w:rsid w:val="00E2003B"/>
    <w:rsid w:val="00E26887"/>
    <w:rsid w:val="00E279D8"/>
    <w:rsid w:val="00E30092"/>
    <w:rsid w:val="00E319B1"/>
    <w:rsid w:val="00E327A6"/>
    <w:rsid w:val="00E3684F"/>
    <w:rsid w:val="00E37A80"/>
    <w:rsid w:val="00E47D3B"/>
    <w:rsid w:val="00E5492F"/>
    <w:rsid w:val="00E56BCB"/>
    <w:rsid w:val="00E572B1"/>
    <w:rsid w:val="00E60EC6"/>
    <w:rsid w:val="00E6369A"/>
    <w:rsid w:val="00E63860"/>
    <w:rsid w:val="00E70A86"/>
    <w:rsid w:val="00E73E50"/>
    <w:rsid w:val="00E777EC"/>
    <w:rsid w:val="00E80FCD"/>
    <w:rsid w:val="00EA2226"/>
    <w:rsid w:val="00EA7DB0"/>
    <w:rsid w:val="00EA7F2F"/>
    <w:rsid w:val="00EB576F"/>
    <w:rsid w:val="00EB6590"/>
    <w:rsid w:val="00EC00DE"/>
    <w:rsid w:val="00EC21DF"/>
    <w:rsid w:val="00EC30E1"/>
    <w:rsid w:val="00EC3436"/>
    <w:rsid w:val="00EC66BB"/>
    <w:rsid w:val="00EC748E"/>
    <w:rsid w:val="00ED00C8"/>
    <w:rsid w:val="00ED172A"/>
    <w:rsid w:val="00EE01DC"/>
    <w:rsid w:val="00EE5767"/>
    <w:rsid w:val="00F14AB3"/>
    <w:rsid w:val="00F14BEC"/>
    <w:rsid w:val="00F224B7"/>
    <w:rsid w:val="00F225C5"/>
    <w:rsid w:val="00F23209"/>
    <w:rsid w:val="00F2587A"/>
    <w:rsid w:val="00F33470"/>
    <w:rsid w:val="00F34E02"/>
    <w:rsid w:val="00F3715D"/>
    <w:rsid w:val="00F37A10"/>
    <w:rsid w:val="00F40962"/>
    <w:rsid w:val="00F420C8"/>
    <w:rsid w:val="00F42A4C"/>
    <w:rsid w:val="00F42BEF"/>
    <w:rsid w:val="00F42C35"/>
    <w:rsid w:val="00F526BD"/>
    <w:rsid w:val="00F619A9"/>
    <w:rsid w:val="00F634A1"/>
    <w:rsid w:val="00FB7512"/>
    <w:rsid w:val="00FD1470"/>
    <w:rsid w:val="00FD7547"/>
    <w:rsid w:val="00FE287B"/>
    <w:rsid w:val="00FE6B50"/>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2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customStyle="1" w:styleId="FSBullet">
    <w:name w:val="FS Bullet"/>
    <w:basedOn w:val="Normal"/>
    <w:next w:val="Normal"/>
    <w:link w:val="FSBulletChar"/>
    <w:qFormat/>
    <w:rsid w:val="00EE5767"/>
    <w:pPr>
      <w:ind w:left="567" w:hanging="567"/>
    </w:pPr>
    <w:rPr>
      <w:rFonts w:cs="Arial"/>
    </w:rPr>
  </w:style>
  <w:style w:type="character" w:customStyle="1" w:styleId="FSBulletChar">
    <w:name w:val="FS Bullet Char"/>
    <w:basedOn w:val="DefaultParagraphFont"/>
    <w:link w:val="FSBullet"/>
    <w:rsid w:val="00EE5767"/>
    <w:rPr>
      <w:rFonts w:ascii="Arial" w:hAnsi="Arial" w:cs="Arial"/>
      <w:sz w:val="22"/>
      <w:szCs w:val="24"/>
      <w:lang w:eastAsia="en-US" w:bidi="en-US"/>
    </w:rPr>
  </w:style>
  <w:style w:type="paragraph" w:customStyle="1" w:styleId="HR">
    <w:name w:val="HR"/>
    <w:aliases w:val="Regulation Heading"/>
    <w:basedOn w:val="Normal"/>
    <w:next w:val="Normal"/>
    <w:rsid w:val="005253F0"/>
    <w:pPr>
      <w:keepNext/>
      <w:keepLines/>
      <w:widowControl/>
      <w:spacing w:before="360"/>
      <w:ind w:left="964" w:hanging="964"/>
    </w:pPr>
    <w:rPr>
      <w:b/>
      <w:sz w:val="24"/>
      <w:lang w:val="en-AU" w:eastAsia="en-AU" w:bidi="ar-SA"/>
    </w:rPr>
  </w:style>
  <w:style w:type="paragraph" w:styleId="Title">
    <w:name w:val="Title"/>
    <w:basedOn w:val="Normal"/>
    <w:link w:val="TitleChar"/>
    <w:uiPriority w:val="10"/>
    <w:qFormat/>
    <w:rsid w:val="005253F0"/>
    <w:pPr>
      <w:tabs>
        <w:tab w:val="left" w:pos="851"/>
      </w:tabs>
      <w:jc w:val="center"/>
    </w:pPr>
    <w:rPr>
      <w:b/>
      <w:bCs/>
      <w:sz w:val="20"/>
      <w:lang w:val="en-AU" w:bidi="ar-SA"/>
    </w:rPr>
  </w:style>
  <w:style w:type="character" w:customStyle="1" w:styleId="TitleChar">
    <w:name w:val="Title Char"/>
    <w:basedOn w:val="DefaultParagraphFont"/>
    <w:link w:val="Title"/>
    <w:uiPriority w:val="10"/>
    <w:rsid w:val="005253F0"/>
    <w:rPr>
      <w:rFonts w:ascii="Arial" w:hAnsi="Arial"/>
      <w:b/>
      <w:bCs/>
      <w:szCs w:val="24"/>
      <w:lang w:val="en-AU" w:eastAsia="en-US"/>
    </w:rPr>
  </w:style>
  <w:style w:type="paragraph" w:styleId="CommentSubject">
    <w:name w:val="annotation subject"/>
    <w:basedOn w:val="CommentText"/>
    <w:next w:val="CommentText"/>
    <w:link w:val="CommentSubjectChar"/>
    <w:rsid w:val="006C3D62"/>
    <w:rPr>
      <w:b/>
      <w:bCs/>
    </w:rPr>
  </w:style>
  <w:style w:type="character" w:customStyle="1" w:styleId="CommentSubjectChar">
    <w:name w:val="Comment Subject Char"/>
    <w:basedOn w:val="CommentTextChar"/>
    <w:link w:val="CommentSubject"/>
    <w:rsid w:val="006C3D62"/>
    <w:rPr>
      <w:rFonts w:ascii="Arial" w:hAnsi="Arial"/>
      <w:b/>
      <w:bCs/>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customStyle="1" w:styleId="FSBullet">
    <w:name w:val="FS Bullet"/>
    <w:basedOn w:val="Normal"/>
    <w:next w:val="Normal"/>
    <w:link w:val="FSBulletChar"/>
    <w:qFormat/>
    <w:rsid w:val="00EE5767"/>
    <w:pPr>
      <w:ind w:left="567" w:hanging="567"/>
    </w:pPr>
    <w:rPr>
      <w:rFonts w:cs="Arial"/>
    </w:rPr>
  </w:style>
  <w:style w:type="character" w:customStyle="1" w:styleId="FSBulletChar">
    <w:name w:val="FS Bullet Char"/>
    <w:basedOn w:val="DefaultParagraphFont"/>
    <w:link w:val="FSBullet"/>
    <w:rsid w:val="00EE5767"/>
    <w:rPr>
      <w:rFonts w:ascii="Arial" w:hAnsi="Arial" w:cs="Arial"/>
      <w:sz w:val="22"/>
      <w:szCs w:val="24"/>
      <w:lang w:eastAsia="en-US" w:bidi="en-US"/>
    </w:rPr>
  </w:style>
  <w:style w:type="paragraph" w:customStyle="1" w:styleId="HR">
    <w:name w:val="HR"/>
    <w:aliases w:val="Regulation Heading"/>
    <w:basedOn w:val="Normal"/>
    <w:next w:val="Normal"/>
    <w:rsid w:val="005253F0"/>
    <w:pPr>
      <w:keepNext/>
      <w:keepLines/>
      <w:widowControl/>
      <w:spacing w:before="360"/>
      <w:ind w:left="964" w:hanging="964"/>
    </w:pPr>
    <w:rPr>
      <w:b/>
      <w:sz w:val="24"/>
      <w:lang w:val="en-AU" w:eastAsia="en-AU" w:bidi="ar-SA"/>
    </w:rPr>
  </w:style>
  <w:style w:type="paragraph" w:styleId="Title">
    <w:name w:val="Title"/>
    <w:basedOn w:val="Normal"/>
    <w:link w:val="TitleChar"/>
    <w:uiPriority w:val="10"/>
    <w:qFormat/>
    <w:rsid w:val="005253F0"/>
    <w:pPr>
      <w:tabs>
        <w:tab w:val="left" w:pos="851"/>
      </w:tabs>
      <w:jc w:val="center"/>
    </w:pPr>
    <w:rPr>
      <w:b/>
      <w:bCs/>
      <w:sz w:val="20"/>
      <w:lang w:val="en-AU" w:bidi="ar-SA"/>
    </w:rPr>
  </w:style>
  <w:style w:type="character" w:customStyle="1" w:styleId="TitleChar">
    <w:name w:val="Title Char"/>
    <w:basedOn w:val="DefaultParagraphFont"/>
    <w:link w:val="Title"/>
    <w:uiPriority w:val="10"/>
    <w:rsid w:val="005253F0"/>
    <w:rPr>
      <w:rFonts w:ascii="Arial" w:hAnsi="Arial"/>
      <w:b/>
      <w:bCs/>
      <w:szCs w:val="24"/>
      <w:lang w:val="en-AU" w:eastAsia="en-US"/>
    </w:rPr>
  </w:style>
  <w:style w:type="paragraph" w:styleId="CommentSubject">
    <w:name w:val="annotation subject"/>
    <w:basedOn w:val="CommentText"/>
    <w:next w:val="CommentText"/>
    <w:link w:val="CommentSubjectChar"/>
    <w:rsid w:val="006C3D62"/>
    <w:rPr>
      <w:b/>
      <w:bCs/>
    </w:rPr>
  </w:style>
  <w:style w:type="character" w:customStyle="1" w:styleId="CommentSubjectChar">
    <w:name w:val="Comment Subject Char"/>
    <w:basedOn w:val="CommentTextChar"/>
    <w:link w:val="CommentSubject"/>
    <w:rsid w:val="006C3D62"/>
    <w:rPr>
      <w:rFonts w:ascii="Arial" w:hAnsi="Arial"/>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foodstandards.gov.au/code/applications/Pages/A1120AgaroseIonExchangeResinPA.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eur-lex.europa.eu/legal-content/EN/TXT/?uri=uriserv:OJ.L_.2004.338.01.0004.01.ENG&amp;toc=OJ:L:2004:338:TOC"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ao.org/fao-who-codexalimentarius/procedures-strategies/procedural-manual/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23" Type="http://schemas.openxmlformats.org/officeDocument/2006/relationships/hyperlink" Target="http://www.accessdata.fda.gov/scripts/fdcc/?set=GRASNotices&amp;id=465" TargetMode="Externa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codexalimentarius.org/standards/list-of-standards/" TargetMode="External"/><Relationship Id="rId22" Type="http://schemas.openxmlformats.org/officeDocument/2006/relationships/hyperlink" Target="http://www.accessdata.fda.gov/scripts/fdcc/index.cfm?set=GRASNotices&amp;id=464" TargetMode="Externa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2016-05-19T14:00:00+00:00</PublishingStart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1ECC2992E9044440A5B2858A75B43173" ma:contentTypeVersion="21" ma:contentTypeDescription="Files created by FSANZ including letters, draft documents and ideas for FSANZ business." ma:contentTypeScope="" ma:versionID="ce246180a9e364c5a73f8bc77e86cb00">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0C500-CA9E-4ADD-B10A-F10645A3B167}"/>
</file>

<file path=customXml/itemProps2.xml><?xml version="1.0" encoding="utf-8"?>
<ds:datastoreItem xmlns:ds="http://schemas.openxmlformats.org/officeDocument/2006/customXml" ds:itemID="{A87FF762-6340-4EE2-9AFA-D80F15C7B579}"/>
</file>

<file path=customXml/itemProps3.xml><?xml version="1.0" encoding="utf-8"?>
<ds:datastoreItem xmlns:ds="http://schemas.openxmlformats.org/officeDocument/2006/customXml" ds:itemID="{1760E203-0B64-451E-848D-A386AC45B4B4}"/>
</file>

<file path=customXml/itemProps4.xml><?xml version="1.0" encoding="utf-8"?>
<ds:datastoreItem xmlns:ds="http://schemas.openxmlformats.org/officeDocument/2006/customXml" ds:itemID="{BDD2523B-946C-4A2B-9030-8738D4A24218}"/>
</file>

<file path=customXml/itemProps5.xml><?xml version="1.0" encoding="utf-8"?>
<ds:datastoreItem xmlns:ds="http://schemas.openxmlformats.org/officeDocument/2006/customXml" ds:itemID="{E870B2ED-D8E5-4CA1-B280-0ABC54A4E811}"/>
</file>

<file path=customXml/itemProps6.xml><?xml version="1.0" encoding="utf-8"?>
<ds:datastoreItem xmlns:ds="http://schemas.openxmlformats.org/officeDocument/2006/customXml" ds:itemID="{E37FE750-580C-4EC7-8841-BE1E3DAD18A6}"/>
</file>

<file path=docProps/app.xml><?xml version="1.0" encoding="utf-8"?>
<Properties xmlns="http://schemas.openxmlformats.org/officeDocument/2006/extended-properties" xmlns:vt="http://schemas.openxmlformats.org/officeDocument/2006/docPropsVTypes">
  <Template>Normal.dotm</Template>
  <TotalTime>591</TotalTime>
  <Pages>16</Pages>
  <Words>5389</Words>
  <Characters>30723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36040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keywords/>
  <cp:lastModifiedBy>humphc</cp:lastModifiedBy>
  <cp:revision>72</cp:revision>
  <cp:lastPrinted>2016-05-05T04:29:00Z</cp:lastPrinted>
  <dcterms:created xsi:type="dcterms:W3CDTF">2016-03-21T04:15:00Z</dcterms:created>
  <dcterms:modified xsi:type="dcterms:W3CDTF">2016-05-19T03:40:00Z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7;#Evaluation|43bd8487-b9f6-4055-946c-a118d364275d</vt:lpwstr>
  </property>
  <property fmtid="{D5CDD505-2E9C-101B-9397-08002B2CF9AE}" pid="5" name="_dlc_DocIdItemGuid">
    <vt:lpwstr>d4a37c10-3d93-49ce-98e1-aa5ecc93613e</vt:lpwstr>
  </property>
  <property fmtid="{D5CDD505-2E9C-101B-9397-08002B2CF9AE}" pid="6" name="SPPCopyMoveEvent">
    <vt:lpwstr>0</vt:lpwstr>
  </property>
  <property fmtid="{D5CDD505-2E9C-101B-9397-08002B2CF9AE}" pid="7" name="a41428b017d04df981d58ffdf035d7b8">
    <vt:lpwstr/>
  </property>
</Properties>
</file>